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tabs>
          <w:tab w:val="clear" w:pos="408"/>
          <w:tab w:val="left" w:pos="4035" w:leader="none"/>
        </w:tabs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«ОКПД2 42.22.22.140 Выполнение работ по капитальному ремонту ВЛ 110 кВ с заменой опоры на территории Партизанского района структурного подразделения «Приморские южные электрические сети»»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>
        <w:rPr>
          <w:rFonts w:eastAsia="Calibri"/>
          <w:b/>
          <w:sz w:val="26"/>
          <w:szCs w:val="26"/>
        </w:rPr>
        <w:t>312001</w:t>
      </w:r>
      <w:r>
        <w:rPr>
          <w:rFonts w:eastAsia="Calibri"/>
          <w:b/>
          <w:sz w:val="26"/>
          <w:szCs w:val="26"/>
        </w:rPr>
        <w:t>-РЕМ ПРОД-2026-ДРСК-ПЭС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br w:type="page"/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СОДЕРЖАНИЕ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1.      Общие сведения</w:t>
        <w:tab/>
        <w:t>3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567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1.1. Обозначения и сокращения, термины и определения</w:t>
        <w:tab/>
        <w:t>3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567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1.2. Наименование закупаемой продукции</w:t>
        <w:tab/>
        <w:t>4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Таблица 1. Перечень объектов Заказчика</w:t>
        <w:tab/>
        <w:t>4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567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1.3. Цель выполнения работ</w:t>
        <w:tab/>
        <w:t>4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567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1.4. Существующее положение</w:t>
        <w:tab/>
        <w:t>4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567"/>
        <w:jc w:val="both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   ………………………………………………………....5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both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 xml:space="preserve">Таблица 2. Список Давальческих материалов, передаваемых Заказчиком Подрядчику </w:t>
        <w:tab/>
        <w:t>5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2.</w:t>
        <w:tab/>
        <w:t>Требования к продукции</w:t>
        <w:tab/>
        <w:t>5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624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2.1. Требования к объемам и срокам выполнения работ</w:t>
        <w:tab/>
        <w:t>5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227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 xml:space="preserve">              </w:t>
      </w: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2.1.1. Требования к видам и объемам работ</w:t>
        <w:tab/>
        <w:t>5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Таблица 3. Перечень и объем выполняемых работ</w:t>
        <w:tab/>
        <w:t>5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227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 xml:space="preserve">              </w:t>
      </w: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2.1.2. Требования к срокам выполнения работ</w:t>
        <w:tab/>
        <w:t>6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Таблица 4. Требования по срокам выполнения работ</w:t>
        <w:tab/>
        <w:t>6</w:t>
      </w:r>
    </w:p>
    <w:p>
      <w:pPr>
        <w:pStyle w:val="Normal"/>
        <w:widowControl/>
        <w:tabs>
          <w:tab w:val="clear" w:pos="408"/>
          <w:tab w:val="left" w:pos="567" w:leader="none"/>
          <w:tab w:val="right" w:pos="9911" w:leader="dot"/>
        </w:tabs>
        <w:bidi w:val="0"/>
        <w:ind w:left="0" w:right="0" w:firstLine="624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2.2. Требования к качеству продукции</w:t>
        <w:tab/>
        <w:t>6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Таблица 5. Требования к качеству работ</w:t>
        <w:tab/>
        <w:t>6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3.</w:t>
        <w:tab/>
        <w:t>Требования к документации по ценообразованию на этапе закупки</w:t>
        <w:tab/>
        <w:t>12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4.</w:t>
        <w:tab/>
        <w:t>Требования к документации по ценообразованию на этапе заключения (исполнения) договора</w:t>
        <w:tab/>
        <w:t>12</w:t>
      </w:r>
    </w:p>
    <w:p>
      <w:pPr>
        <w:pStyle w:val="Normal"/>
        <w:tabs>
          <w:tab w:val="clear" w:pos="408"/>
          <w:tab w:val="left" w:pos="567" w:leader="none"/>
          <w:tab w:val="right" w:pos="9911" w:leader="dot"/>
        </w:tabs>
        <w:ind w:left="0" w:right="0" w:hanging="0"/>
        <w:jc w:val="left"/>
        <w:rPr>
          <w:rFonts w:ascii="Liberation Serif" w:hAnsi="Liberation Serif" w:eastAsia="Times New Roman" w:cs="Calibri"/>
          <w:b w:val="false"/>
          <w:bCs w:val="false"/>
          <w:i w:val="false"/>
          <w:i w:val="false"/>
          <w:iCs w:val="false"/>
          <w:sz w:val="24"/>
          <w:szCs w:val="24"/>
          <w:lang w:val="ru-RU" w:eastAsia="ru-RU"/>
        </w:rPr>
      </w:pPr>
      <w:r>
        <w:rPr>
          <w:rFonts w:eastAsia="Times New Roman" w:cs="Calibri" w:ascii="Liberation Serif" w:hAnsi="Liberation Serif"/>
          <w:b w:val="false"/>
          <w:bCs w:val="false"/>
          <w:i w:val="false"/>
          <w:iCs w:val="false"/>
          <w:sz w:val="24"/>
          <w:szCs w:val="24"/>
          <w:lang w:val="ru-RU" w:eastAsia="ru-RU"/>
        </w:rPr>
        <w:t>5.</w:t>
        <w:tab/>
        <w:t>Приложения</w:t>
        <w:tab/>
        <w:t>12</w:t>
      </w:r>
      <w:r>
        <w:br w:type="page"/>
      </w:r>
    </w:p>
    <w:p>
      <w:pPr>
        <w:pStyle w:val="Normal"/>
        <w:keepNext w:val="true"/>
        <w:keepLines/>
        <w:jc w:val="center"/>
        <w:rPr>
          <w:rFonts w:ascii="Liberation Serif" w:hAnsi="Liberation Serif"/>
          <w:b/>
          <w:sz w:val="28"/>
          <w:szCs w:val="28"/>
        </w:rPr>
      </w:pPr>
      <w:bookmarkStart w:id="0" w:name="__RefHeading___Toc126314953"/>
      <w:bookmarkEnd w:id="0"/>
      <w:r>
        <w:rPr>
          <w:rFonts w:ascii="Liberation Serif" w:hAnsi="Liberation Serif"/>
          <w:b/>
          <w:sz w:val="28"/>
          <w:szCs w:val="28"/>
        </w:rPr>
        <w:t>1. Общие сведения</w:t>
      </w:r>
    </w:p>
    <w:p>
      <w:pPr>
        <w:pStyle w:val="Heading4"/>
        <w:numPr>
          <w:ilvl w:val="0"/>
          <w:numId w:val="0"/>
        </w:numPr>
        <w:ind w:left="0" w:hanging="0"/>
        <w:rPr>
          <w:rFonts w:ascii="Liberation Serif" w:hAnsi="Liberation Serif"/>
          <w:sz w:val="24"/>
          <w:szCs w:val="24"/>
        </w:rPr>
      </w:pPr>
      <w:bookmarkStart w:id="1" w:name="__RefHeading___Toc126314954"/>
      <w:bookmarkEnd w:id="1"/>
      <w:r>
        <w:rPr>
          <w:rFonts w:ascii="Liberation Serif" w:hAnsi="Liberation Serif"/>
          <w:sz w:val="24"/>
          <w:szCs w:val="24"/>
        </w:rPr>
        <w:t xml:space="preserve">1.1. </w:t>
      </w:r>
      <w:r>
        <w:rPr>
          <w:rFonts w:cs="Liberation Serif;Times New Roman" w:ascii="Liberation Serif;Times New Roman" w:hAnsi="Liberation Serif;Times New Roman"/>
          <w:b/>
          <w:bCs/>
          <w:sz w:val="24"/>
          <w:szCs w:val="24"/>
        </w:rPr>
        <w:t>Обозначения, сокращения, термины и определения</w:t>
      </w:r>
    </w:p>
    <w:tbl>
      <w:tblPr>
        <w:tblW w:w="9931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092"/>
        <w:gridCol w:w="7838"/>
      </w:tblGrid>
      <w:tr>
        <w:trPr/>
        <w:tc>
          <w:tcPr>
            <w:tcW w:w="9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52"/>
              <w:widowControl w:val="false"/>
              <w:rPr>
                <w:rFonts w:ascii="Liberation Serif;Times New Roman" w:hAnsi="Liberation Serif;Times New Roman" w:cs="Liberation Serif;Times New Roman"/>
                <w:b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Liberation Serif;Times New Roman" w:ascii="Liberation Serif;Times New Roman" w:hAnsi="Liberation Serif;Times New Roman"/>
                <w:b/>
                <w:bCs/>
                <w:i w:val="false"/>
                <w:iCs w:val="false"/>
                <w:sz w:val="24"/>
                <w:szCs w:val="24"/>
              </w:rPr>
              <w:t>Обозначения и сокращения: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52"/>
              <w:widowControl w:val="false"/>
              <w:rPr>
                <w:rFonts w:ascii="Liberation Serif" w:hAnsi="Liberation Serif" w:cs="Liberation Serif;Times New Roman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ВЛ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;Times New Roman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Воздушная линия электропередачи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ЛЭП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Линия электропередачи.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НТД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Нормативно – техническая документация.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ОЗ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Охранная зона</w:t>
            </w:r>
            <w:r>
              <w:rPr>
                <w:rFonts w:eastAsia="Calibri" w:ascii="Liberation Serif" w:hAnsi="Liberation Serif"/>
                <w:b w:val="false"/>
                <w:bCs w:val="false"/>
                <w:color w:val="000000"/>
                <w:sz w:val="24"/>
                <w:szCs w:val="24"/>
                <w:lang w:eastAsia="en-US" w:bidi="en-US"/>
              </w:rPr>
              <w:t>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ППР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Проект производства работ.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РУ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Распределительное устройство.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РФ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Российская Федерация.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ТК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 xml:space="preserve">Технологическая карта. 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ТТ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Технические требования.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ТЭК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 xml:space="preserve">Топливно-энергетический комплекс. 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ВДиОР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;Times New Roman" w:hAnsi="Liberation Serif;Times New Roman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Ведомость дефектов и объемов работ.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ФЗ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Федеральный закон.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НП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 xml:space="preserve">Населенный пункт. 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ЕНЭС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Единая национальная (общероссийская) электрическая сеть.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ЛЭП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Линия электропередачи.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РЭС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Район электрических сетей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СП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Структурное подразделение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ПЮЭС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Приморские южные электрические сети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ПЭС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eastAsia="Times New Roman" w:cs="Liberation Serif;Times New Roman"/>
                <w:b w:val="false"/>
                <w:bCs w:val="false"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Приморские электрические сети</w:t>
            </w:r>
          </w:p>
        </w:tc>
      </w:tr>
      <w:tr>
        <w:trPr/>
        <w:tc>
          <w:tcPr>
            <w:tcW w:w="99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Liberation Serif;Times New Roman" w:hAnsi="Liberation Serif;Times New Roman" w:eastAsia="Times New Roman" w:cs="Liberation Serif;Times New Roman"/>
                <w:b/>
                <w:bCs/>
                <w:i w:val="false"/>
                <w:i w:val="false"/>
                <w:iCs w:val="false"/>
                <w:color w:val="auto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eastAsia="zh-CN" w:bidi="ar-SA"/>
              </w:rPr>
              <w:t>Термины и определения: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Воздушная линия электропередачи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Устройство для передачи электроэнергии по проводам, расположенным на открытом воздухе и прикрепленным с помощью изоляторов и арматуры к опорам или кронштейнам и стойкам на инженерных сооружениях (мостах, путепроводах и т.п.). За начало и конец воздушной линии электропередачи принимаются линейные порталы и линейные вводы РУ, а для ответвлений - ответвительная опора и линейный портал или линейный ввод РУ. 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Охранная зона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 w:bidi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 w:bidi="en-US"/>
              </w:rPr>
              <w:t>Часть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вертикальными плоскостями, отстоящими по обе стороны линии электропередачи от крайних проводов при не отклонённом их положении на определенном в приложении расстоянии. Для ВЛ до 1 кВ - 2 м; ВЛ 1 - 20 кВ - 10 м; ВЛ 35 кВ - 15 м; ВЛ 110 кВ - 20 м; ВЛ 150 - 220 кВ - 25 м, ВЛ - 330 - 500 - +/-400 кВ - 30 м, ВЛ - 750 - +/-750 кВ - 40 м, ВЛ - 1150 кВ - 55 м.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Подрядчик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Подрядная организация, осуществляющая на основании договора с Заказчиком, работы по содержанию просек ВЛ в нормативном состоянии (в части растительности). </w:t>
            </w:r>
          </w:p>
        </w:tc>
      </w:tr>
      <w:tr>
        <w:trPr/>
        <w:tc>
          <w:tcPr>
            <w:tcW w:w="20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 w:eastAsia="Calibri"/>
                <w:bCs/>
                <w:color w:val="000000"/>
                <w:sz w:val="24"/>
                <w:szCs w:val="24"/>
                <w:lang w:eastAsia="en-US" w:bidi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4"/>
                <w:szCs w:val="24"/>
                <w:lang w:eastAsia="en-US" w:bidi="en-US"/>
              </w:rPr>
              <w:t>Трасса ВЛ</w:t>
            </w:r>
          </w:p>
        </w:tc>
        <w:tc>
          <w:tcPr>
            <w:tcW w:w="7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60"/>
              <w:jc w:val="both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 w:bidi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 w:bidi="en-US"/>
              </w:rPr>
              <w:t>Направление линии прохождения ВЛ, определённое проектом.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4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1.2. Наименование закупаем</w:t>
      </w:r>
      <w:r>
        <w:rPr>
          <w:rFonts w:ascii="Liberation Serif" w:hAnsi="Liberation Serif"/>
          <w:i w:val="false"/>
          <w:iCs w:val="false"/>
          <w:sz w:val="24"/>
          <w:szCs w:val="24"/>
          <w:lang w:val="ru-RU"/>
        </w:rPr>
        <w:t>ых</w:t>
      </w:r>
      <w:r>
        <w:rPr>
          <w:rFonts w:ascii="Liberation Serif" w:hAnsi="Liberation Serif"/>
          <w:i w:val="false"/>
          <w:iCs w:val="false"/>
          <w:sz w:val="24"/>
          <w:szCs w:val="24"/>
        </w:rPr>
        <w:t xml:space="preserve"> р</w:t>
      </w:r>
      <w:r>
        <w:rPr>
          <w:rFonts w:ascii="Liberation Serif" w:hAnsi="Liberation Serif"/>
          <w:i w:val="false"/>
          <w:iCs w:val="false"/>
          <w:sz w:val="24"/>
          <w:szCs w:val="24"/>
          <w:lang w:val="ru-RU"/>
        </w:rPr>
        <w:t>абот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>ОКПД2 42.22.22.140 Выполнение работ по капитальному ремонту ВЛ 110 кВ с заменой опоры на территории Партизанского района структурного подразделения «Приморские южные электрические сети».</w:t>
      </w:r>
    </w:p>
    <w:p>
      <w:pPr>
        <w:pStyle w:val="Heading1"/>
        <w:keepLines/>
        <w:numPr>
          <w:ilvl w:val="0"/>
        </w:numPr>
        <w:spacing w:before="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r>
        <w:rPr>
          <w:rFonts w:ascii="Liberation Serif" w:hAnsi="Liberation Serif"/>
          <w:sz w:val="24"/>
          <w:szCs w:val="24"/>
          <w:lang w:val="ru-RU"/>
        </w:rPr>
      </w:r>
    </w:p>
    <w:p>
      <w:pPr>
        <w:pStyle w:val="Heading1"/>
        <w:numPr>
          <w:ilvl w:val="0"/>
        </w:numPr>
        <w:spacing w:before="0" w:after="240"/>
        <w:ind w:left="0" w:right="0" w:hanging="0"/>
        <w:rPr>
          <w:rFonts w:ascii="Liberation Serif" w:hAnsi="Liberation Serif"/>
          <w:sz w:val="24"/>
          <w:szCs w:val="24"/>
          <w:lang w:val="ru-RU"/>
        </w:rPr>
      </w:pPr>
      <w:r>
        <w:rPr>
          <w:rFonts w:ascii="Liberation Serif" w:hAnsi="Liberation Serif"/>
          <w:sz w:val="24"/>
          <w:szCs w:val="24"/>
          <w:lang w:val="ru-RU"/>
        </w:rPr>
        <w:t>Таблица 1. Перечень объектов Заказчика</w:t>
      </w:r>
    </w:p>
    <w:tbl>
      <w:tblPr>
        <w:tblW w:w="10145" w:type="dxa"/>
        <w:jc w:val="left"/>
        <w:tblInd w:w="-2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608"/>
        <w:gridCol w:w="1708"/>
        <w:gridCol w:w="1693"/>
        <w:gridCol w:w="1650"/>
        <w:gridCol w:w="2945"/>
      </w:tblGrid>
      <w:tr>
        <w:trPr/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пп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Расположение Объекта 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(место производства работ) </w:t>
            </w:r>
          </w:p>
        </w:tc>
        <w:tc>
          <w:tcPr>
            <w:tcW w:w="3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Координаты объекта 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(в отношении участка выполнения работ)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Широта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Долгота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9"/>
              <w:widowControl w:val="false"/>
              <w:numPr>
                <w:ilvl w:val="0"/>
                <w:numId w:val="5"/>
              </w:numPr>
              <w:suppressAutoHyphens w:val="true"/>
              <w:snapToGrid w:val="false"/>
              <w:ind w:left="360" w:right="0" w:hanging="3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6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</w:rPr>
              <w:t xml:space="preserve">ВЛ 110 Новицкое-Тайфун </w:t>
            </w:r>
          </w:p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</w:rPr>
              <w:t>Инв. №  PR0002921</w:t>
            </w:r>
          </w:p>
          <w:p>
            <w:pPr>
              <w:pStyle w:val="Normal"/>
              <w:widowControl w:val="false"/>
              <w:bidi w:val="0"/>
              <w:spacing w:lineRule="auto" w:line="240"/>
              <w:ind w:left="0" w:right="0" w:hanging="0"/>
              <w:jc w:val="left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shd w:fill="auto" w:val="clear"/>
                <w:em w:val="none"/>
              </w:rPr>
            </w:r>
          </w:p>
        </w:tc>
        <w:tc>
          <w:tcPr>
            <w:tcW w:w="17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Приморский край, </w:t>
            </w:r>
            <w:r>
              <w:rPr>
                <w:rFonts w:eastAsia="Calibri" w:cs="Times New Roman" w:ascii="Liberation Serif" w:hAnsi="Liberation Serif"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bidi="ar-SA"/>
              </w:rPr>
              <w:t>Партизанский МО</w:t>
            </w:r>
          </w:p>
          <w:p>
            <w:pPr>
              <w:pStyle w:val="Normal"/>
              <w:widowControl w:val="false"/>
              <w:jc w:val="left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bidi="ar-SA"/>
              </w:rPr>
            </w:r>
          </w:p>
        </w:tc>
        <w:tc>
          <w:tcPr>
            <w:tcW w:w="169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Начальная точка –  42.9136102</w:t>
            </w:r>
            <w:r>
              <w:rPr>
                <w:rStyle w:val="Style15"/>
                <w:rFonts w:eastAsia="Times New Roman" w:cs="Times New Roman" w:ascii="Liberation Serif" w:hAnsi="Liberation Serif"/>
                <w:b w:val="false"/>
                <w:bCs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shd w:fill="auto" w:val="clear"/>
                <w:lang w:val="ru-RU" w:bidi="ar-SA"/>
              </w:rPr>
              <w:t xml:space="preserve">; 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Fonts w:cs="Times New Roman" w:ascii="Liberation Serif" w:hAnsi="Liberation Serif"/>
                <w:i w:val="false"/>
                <w:iCs w:val="false"/>
                <w:color w:val="000000"/>
                <w:sz w:val="24"/>
                <w:szCs w:val="24"/>
                <w:shd w:fill="FFFFFF" w:val="clear"/>
                <w:lang w:val="ru-RU" w:bidi="ar-SA"/>
              </w:rPr>
              <w:t xml:space="preserve">Конечная точка — </w:t>
            </w:r>
            <w:r>
              <w:rPr>
                <w:rStyle w:val="Style15"/>
                <w:rFonts w:cs="Times New Roman" w:ascii="Liberation Serif" w:hAnsi="Liberation Serif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bidi="ar-SA"/>
              </w:rPr>
              <w:t xml:space="preserve"> 42.9136102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Начальная точка – 133.2354358</w:t>
            </w:r>
            <w:r>
              <w:rPr>
                <w:rStyle w:val="Style15"/>
                <w:rFonts w:eastAsia="Times New Roman" w:cs="Times New Roman" w:ascii="Liberation Serif" w:hAnsi="Liberation Serif"/>
                <w:b w:val="false"/>
                <w:bCs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shd w:fill="auto" w:val="clear"/>
                <w:lang w:val="ru-RU" w:bidi="ar-SA"/>
              </w:rPr>
              <w:t xml:space="preserve">; </w:t>
            </w:r>
          </w:p>
          <w:p>
            <w:pPr>
              <w:pStyle w:val="Normal"/>
              <w:widowControl w:val="false"/>
              <w:suppressAutoHyphens w:val="true"/>
              <w:bidi w:val="0"/>
              <w:jc w:val="center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 w:bidi="ar-SA"/>
              </w:rPr>
            </w:pPr>
            <w:r>
              <w:rPr>
                <w:rStyle w:val="Style15"/>
                <w:rFonts w:cs="Times New Roman" w:ascii="Liberation Serif" w:hAnsi="Liberation Serif"/>
                <w:b w:val="false"/>
                <w:bCs/>
                <w:i w:val="false"/>
                <w:iCs w:val="false"/>
                <w:color w:val="000000"/>
                <w:sz w:val="24"/>
                <w:szCs w:val="24"/>
                <w:shd w:fill="auto" w:val="clear"/>
                <w:lang w:val="ru-RU" w:bidi="ar-SA"/>
              </w:rPr>
              <w:t>Конечная точка —  133.2354358</w:t>
            </w:r>
          </w:p>
        </w:tc>
        <w:tc>
          <w:tcPr>
            <w:tcW w:w="2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Работы производятся в охранной зоне линий электропередачи. Эксплуатирующая организация: СП ПЮЭС филиала АО «ДРСК» ПЭС</w:t>
            </w:r>
          </w:p>
        </w:tc>
      </w:tr>
    </w:tbl>
    <w:p>
      <w:pPr>
        <w:pStyle w:val="Normal"/>
        <w:widowControl w:val="false"/>
        <w:tabs>
          <w:tab w:val="clear" w:pos="408"/>
          <w:tab w:val="left" w:pos="284" w:leader="none"/>
        </w:tabs>
        <w:spacing w:before="120" w:after="0"/>
        <w:jc w:val="both"/>
        <w:rPr>
          <w:rFonts w:ascii="Liberation Serif" w:hAnsi="Liberation Serif" w:eastAsia="Calibri"/>
          <w:i/>
          <w:i/>
          <w:sz w:val="24"/>
          <w:szCs w:val="24"/>
        </w:rPr>
      </w:pPr>
      <w:r>
        <w:rPr>
          <w:rFonts w:eastAsia="Calibri" w:ascii="Liberation Serif" w:hAnsi="Liberation Serif"/>
          <w:i/>
          <w:sz w:val="24"/>
          <w:szCs w:val="24"/>
        </w:rPr>
      </w:r>
    </w:p>
    <w:p>
      <w:pPr>
        <w:pStyle w:val="Heading4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 xml:space="preserve">1.3. Цель </w:t>
      </w:r>
      <w:r>
        <w:rPr>
          <w:rFonts w:eastAsia="Calibri" w:ascii="Liberation Serif" w:hAnsi="Liberation Serif"/>
          <w:i w:val="false"/>
          <w:iCs w:val="false"/>
          <w:sz w:val="24"/>
          <w:szCs w:val="24"/>
          <w:lang w:val="ru-RU"/>
        </w:rPr>
        <w:t>выполнения</w:t>
      </w: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 xml:space="preserve"> р</w:t>
      </w:r>
      <w:r>
        <w:rPr>
          <w:rFonts w:eastAsia="Calibri" w:ascii="Liberation Serif" w:hAnsi="Liberation Serif"/>
          <w:i w:val="false"/>
          <w:iCs w:val="false"/>
          <w:sz w:val="24"/>
          <w:szCs w:val="24"/>
          <w:lang w:val="ru-RU"/>
        </w:rPr>
        <w:t>абот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  <w:lang w:val="ru-RU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  <w:lang w:val="ru-RU"/>
        </w:rPr>
        <w:t xml:space="preserve">Приведение участков трассы ВЛ 110 кВ на территории Партизанского МО  к нормативному состоянию и обеспечению безаварийного надежного функционирования трассы. 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/>
          <w:i/>
          <w:sz w:val="24"/>
          <w:szCs w:val="24"/>
        </w:rPr>
      </w:pPr>
      <w:r>
        <w:rPr>
          <w:rFonts w:eastAsia="Calibri" w:ascii="Liberation Serif" w:hAnsi="Liberation Serif"/>
          <w:i/>
          <w:sz w:val="24"/>
          <w:szCs w:val="24"/>
        </w:rPr>
      </w:r>
    </w:p>
    <w:p>
      <w:pPr>
        <w:pStyle w:val="Heading4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>1.4. Существующее положение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 xml:space="preserve">Месторасположение объекта: Приморский район, </w:t>
      </w:r>
      <w:r>
        <w:rPr>
          <w:rFonts w:eastAsia="Calibri" w:ascii="Liberation Serif" w:hAnsi="Liberation Serif"/>
          <w:i w:val="false"/>
          <w:iCs w:val="false"/>
          <w:sz w:val="24"/>
          <w:szCs w:val="24"/>
          <w:lang w:val="ru-RU"/>
        </w:rPr>
        <w:t>Партизанский</w:t>
      </w: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 xml:space="preserve"> МО.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>Характеристика объекта: Объект — ВЛ;  рабочее напряжение – 110 кВ.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>Характеристика местности – работы проводятся в охранной зоне ВЛ 110 кВ, находящейся под напряжением.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 w:val="false"/>
          <w:i w:val="false"/>
          <w:iCs w:val="false"/>
          <w:sz w:val="24"/>
          <w:szCs w:val="24"/>
        </w:rPr>
      </w:pPr>
      <w:r>
        <w:rPr>
          <w:rFonts w:eastAsia="Calibri" w:ascii="Liberation Serif" w:hAnsi="Liberation Serif"/>
          <w:i w:val="false"/>
          <w:iCs w:val="false"/>
          <w:sz w:val="24"/>
          <w:szCs w:val="24"/>
        </w:rPr>
        <w:t>Основание выполнения работ: предотвращение аварийной ситуации и обеспечение  надежности электроснабжения потребителей.</w:t>
      </w:r>
    </w:p>
    <w:p>
      <w:pPr>
        <w:pStyle w:val="Normal"/>
        <w:widowControl w:val="false"/>
        <w:tabs>
          <w:tab w:val="clear" w:pos="408"/>
          <w:tab w:val="left" w:pos="426" w:leader="none"/>
        </w:tabs>
        <w:spacing w:before="120" w:after="0"/>
        <w:jc w:val="both"/>
        <w:rPr>
          <w:rFonts w:ascii="Liberation Serif" w:hAnsi="Liberation Serif" w:eastAsia="Calibri"/>
          <w:i/>
          <w:i/>
          <w:sz w:val="24"/>
          <w:szCs w:val="24"/>
        </w:rPr>
      </w:pPr>
      <w:r>
        <w:rPr>
          <w:rFonts w:eastAsia="Calibri" w:ascii="Liberation Serif" w:hAnsi="Liberation Serif"/>
          <w:i/>
          <w:sz w:val="24"/>
          <w:szCs w:val="24"/>
        </w:rPr>
      </w:r>
    </w:p>
    <w:p>
      <w:pPr>
        <w:pStyle w:val="Normal"/>
        <w:tabs>
          <w:tab w:val="clear" w:pos="408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</w:t>
      </w:r>
    </w:p>
    <w:p>
      <w:pPr>
        <w:pStyle w:val="Normal"/>
        <w:tabs>
          <w:tab w:val="clear" w:pos="408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b/>
          <w:bCs/>
          <w:iCs/>
          <w:sz w:val="24"/>
          <w:szCs w:val="24"/>
        </w:rPr>
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</w:r>
    </w:p>
    <w:p>
      <w:pPr>
        <w:pStyle w:val="Normal"/>
        <w:tabs>
          <w:tab w:val="clear" w:pos="408"/>
          <w:tab w:val="left" w:pos="284" w:leader="none"/>
        </w:tabs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</w:r>
    </w:p>
    <w:p>
      <w:pPr>
        <w:pStyle w:val="Normal"/>
        <w:ind w:left="357" w:right="0" w:hanging="357"/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 xml:space="preserve">      </w:t>
      </w:r>
      <w:r>
        <w:rPr>
          <w:rFonts w:ascii="Liberation Serif" w:hAnsi="Liberation Serif"/>
          <w:iCs/>
          <w:sz w:val="24"/>
          <w:szCs w:val="24"/>
        </w:rPr>
        <w:t xml:space="preserve">1.5.1. Заказчик передает Подрядчику со склада филиала АО «ДРСК» - «Приморские электрические сети», расположенного по адресу: г. Уссурийск, ул. Резервная, д. 22А следующие материалы: </w:t>
      </w:r>
    </w:p>
    <w:p>
      <w:pPr>
        <w:pStyle w:val="Normal"/>
        <w:ind w:left="357" w:right="0" w:hanging="357"/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</w:r>
    </w:p>
    <w:p>
      <w:pPr>
        <w:pStyle w:val="Normal"/>
        <w:ind w:left="357" w:right="0" w:hanging="357"/>
        <w:jc w:val="both"/>
        <w:rPr>
          <w:rFonts w:ascii="Liberation Serif" w:hAnsi="Liberation Serif"/>
          <w:b/>
          <w:bCs/>
          <w:iCs/>
          <w:sz w:val="24"/>
          <w:szCs w:val="24"/>
        </w:rPr>
      </w:pPr>
      <w:r>
        <w:rPr>
          <w:rFonts w:ascii="Liberation Serif" w:hAnsi="Liberation Serif"/>
          <w:b/>
          <w:bCs/>
          <w:iCs/>
          <w:sz w:val="24"/>
          <w:szCs w:val="24"/>
        </w:rPr>
        <w:t xml:space="preserve">Таблица 2. Список Давальческих материалов, передаваемых Заказчиком Подрядчику </w:t>
      </w:r>
    </w:p>
    <w:p>
      <w:pPr>
        <w:pStyle w:val="Normal"/>
        <w:ind w:left="357" w:right="0" w:hanging="357"/>
        <w:jc w:val="both"/>
        <w:rPr>
          <w:rFonts w:ascii="Liberation Serif" w:hAnsi="Liberation Serif"/>
          <w:b/>
          <w:bCs/>
          <w:iCs/>
          <w:sz w:val="24"/>
          <w:szCs w:val="24"/>
        </w:rPr>
      </w:pPr>
      <w:r>
        <w:rPr>
          <w:rFonts w:ascii="Liberation Serif" w:hAnsi="Liberation Serif"/>
          <w:b/>
          <w:bCs/>
          <w:iCs/>
          <w:sz w:val="24"/>
          <w:szCs w:val="24"/>
        </w:rPr>
      </w:r>
    </w:p>
    <w:tbl>
      <w:tblPr>
        <w:tblW w:w="9861" w:type="dxa"/>
        <w:jc w:val="left"/>
        <w:tblInd w:w="9" w:type="dxa"/>
        <w:tblLayout w:type="fixed"/>
        <w:tblCellMar>
          <w:top w:w="0" w:type="dxa"/>
          <w:left w:w="48" w:type="dxa"/>
          <w:bottom w:w="0" w:type="dxa"/>
          <w:right w:w="108" w:type="dxa"/>
        </w:tblCellMar>
      </w:tblPr>
      <w:tblGrid>
        <w:gridCol w:w="911"/>
        <w:gridCol w:w="5899"/>
        <w:gridCol w:w="1634"/>
        <w:gridCol w:w="1416"/>
      </w:tblGrid>
      <w:tr>
        <w:trPr>
          <w:trHeight w:val="512" w:hRule="atLeast"/>
        </w:trPr>
        <w:tc>
          <w:tcPr>
            <w:tcW w:w="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п.п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1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>
        <w:trPr>
          <w:trHeight w:val="444" w:hRule="atLeast"/>
        </w:trPr>
        <w:tc>
          <w:tcPr>
            <w:tcW w:w="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Опора У110-1, 5,235 т (ТП 3078тм-т10-125а)</w:t>
            </w:r>
          </w:p>
        </w:tc>
        <w:tc>
          <w:tcPr>
            <w:tcW w:w="1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Style52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</w:tr>
    </w:tbl>
    <w:p>
      <w:pPr>
        <w:pStyle w:val="Normal"/>
        <w:tabs>
          <w:tab w:val="clear" w:pos="408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left="0" w:righ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1.5.2. Давальческие материалы, полученные на складе Заказчика (адрес склада </w:t>
      </w:r>
      <w:r>
        <w:rPr>
          <w:rFonts w:ascii="Liberation Serif" w:hAnsi="Liberation Serif"/>
          <w:iCs/>
          <w:color w:val="000000"/>
          <w:sz w:val="24"/>
          <w:szCs w:val="24"/>
        </w:rPr>
        <w:t>г. Уссурийск, ул. Резервная, д. 22А),</w:t>
      </w:r>
      <w:r>
        <w:rPr>
          <w:rFonts w:ascii="Liberation Serif" w:hAnsi="Liberation Serif"/>
          <w:color w:val="000000"/>
          <w:sz w:val="24"/>
          <w:szCs w:val="24"/>
        </w:rPr>
        <w:t xml:space="preserve"> завозятся на Объект Подрядчиком самостоятельно. Порядок передачи и учета Давальческих материалов указан в Приложении № 10 к  Договору подряда.</w:t>
      </w:r>
      <w:r>
        <w:rPr>
          <w:rFonts w:ascii="Liberation Serif" w:hAnsi="Liberation Serif"/>
          <w:sz w:val="24"/>
          <w:szCs w:val="24"/>
        </w:rPr>
        <w:t xml:space="preserve">                    </w:t>
      </w:r>
    </w:p>
    <w:p>
      <w:pPr>
        <w:pStyle w:val="Normal"/>
        <w:tabs>
          <w:tab w:val="clear" w:pos="408"/>
          <w:tab w:val="left" w:pos="284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         </w:t>
      </w:r>
      <w:r>
        <w:rPr>
          <w:rFonts w:ascii="Liberation Serif" w:hAnsi="Liberation Serif"/>
          <w:color w:val="000000"/>
          <w:sz w:val="24"/>
          <w:szCs w:val="24"/>
        </w:rPr>
        <w:t>1.5.3. Все о</w:t>
      </w:r>
      <w:r>
        <w:rPr>
          <w:rFonts w:ascii="Liberation Serif" w:hAnsi="Liberation Serif"/>
          <w:sz w:val="24"/>
          <w:szCs w:val="24"/>
        </w:rPr>
        <w:t>стальные необходимые материалы для выполнения указанных работ согласно ведомости дефектов и объемов работ (Приложение № 1 к настоящим ТТ) приобретаются и завозятся на Объект Подрядчиком самостоятельно после предварительного согласования с Заказчиком.</w:t>
      </w:r>
    </w:p>
    <w:p>
      <w:pPr>
        <w:pStyle w:val="Heading1"/>
        <w:numPr>
          <w:ilvl w:val="0"/>
        </w:numPr>
        <w:ind w:left="357" w:right="0" w:hanging="357"/>
        <w:jc w:val="center"/>
        <w:rPr>
          <w:sz w:val="28"/>
          <w:szCs w:val="28"/>
        </w:rPr>
      </w:pPr>
      <w:bookmarkStart w:id="2" w:name="__RefHeading___Toc126314959"/>
      <w:bookmarkStart w:id="3" w:name="_Hlk48209761"/>
      <w:bookmarkEnd w:id="2"/>
      <w:bookmarkEnd w:id="3"/>
      <w:r>
        <w:rPr>
          <w:rFonts w:ascii="Liberation Serif" w:hAnsi="Liberation Serif"/>
          <w:iCs/>
          <w:sz w:val="28"/>
          <w:szCs w:val="28"/>
        </w:rPr>
        <w:t>2. Требования к продукции</w:t>
      </w:r>
    </w:p>
    <w:p>
      <w:pPr>
        <w:pStyle w:val="Heading4"/>
        <w:keepLines/>
        <w:spacing w:before="240" w:after="240"/>
        <w:ind w:left="0" w:right="0" w:hanging="0"/>
        <w:rPr>
          <w:rFonts w:ascii="Liberation Serif" w:hAnsi="Liberation Serif"/>
          <w:i w:val="false"/>
          <w:i w:val="false"/>
          <w:iCs w:val="false"/>
          <w:sz w:val="24"/>
          <w:szCs w:val="24"/>
          <w:lang w:val="ru-RU"/>
        </w:rPr>
      </w:pPr>
      <w:r>
        <w:rPr>
          <w:rFonts w:ascii="Liberation Serif" w:hAnsi="Liberation Serif"/>
          <w:i w:val="false"/>
          <w:iCs w:val="false"/>
          <w:sz w:val="24"/>
          <w:szCs w:val="24"/>
          <w:lang w:val="ru-RU"/>
        </w:rPr>
        <w:t>2.1. Требования к объемам и срокам выполнения работ</w:t>
      </w:r>
    </w:p>
    <w:p>
      <w:pPr>
        <w:pStyle w:val="Normal"/>
        <w:widowControl/>
        <w:bidi w:val="0"/>
        <w:spacing w:before="240" w:after="240"/>
        <w:ind w:left="0" w:right="0" w:firstLine="567"/>
        <w:rPr>
          <w:rFonts w:ascii="Times New Roman" w:hAnsi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val="ru-RU"/>
        </w:rPr>
      </w:pPr>
      <w:r>
        <w:rPr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val="ru-RU"/>
        </w:rPr>
        <w:t>ОКПД2 42.22.22.140 Выполнение работ по капитальному ремонту ВЛ 110 кВ с заменой опоры на территории Партизанского района структурного подразделения «Приморские южные электрические сети».</w:t>
      </w:r>
    </w:p>
    <w:p>
      <w:pPr>
        <w:pStyle w:val="Heading4"/>
        <w:keepNext w:val="true"/>
        <w:keepLines/>
        <w:widowControl/>
        <w:bidi w:val="0"/>
        <w:spacing w:before="240" w:after="240"/>
        <w:ind w:left="0" w:right="0" w:firstLine="567"/>
        <w:rPr>
          <w:rFonts w:ascii="Liberation Serif" w:hAnsi="Liberation Serif"/>
          <w:i w:val="false"/>
          <w:i w:val="false"/>
          <w:iCs w:val="false"/>
          <w:sz w:val="24"/>
          <w:szCs w:val="24"/>
          <w:lang w:val="ru-RU"/>
        </w:rPr>
      </w:pPr>
      <w:r>
        <w:rPr>
          <w:rFonts w:ascii="Liberation Serif" w:hAnsi="Liberation Serif"/>
          <w:i w:val="false"/>
          <w:iCs w:val="false"/>
          <w:sz w:val="24"/>
          <w:szCs w:val="24"/>
          <w:lang w:val="ru-RU"/>
        </w:rPr>
        <w:t>2.1.1. Требования к видам и объемам работ</w:t>
      </w:r>
    </w:p>
    <w:p>
      <w:pPr>
        <w:pStyle w:val="Heading1"/>
        <w:keepNext w:val="true"/>
        <w:widowControl/>
        <w:numPr>
          <w:ilvl w:val="0"/>
        </w:numPr>
        <w:bidi w:val="0"/>
        <w:spacing w:before="240" w:after="240"/>
        <w:ind w:left="0" w:right="0" w:firstLine="567"/>
        <w:rPr>
          <w:rFonts w:ascii="Liberation Serif" w:hAnsi="Liberation Serif"/>
          <w:sz w:val="24"/>
          <w:szCs w:val="24"/>
          <w:lang w:val="ru-RU"/>
        </w:rPr>
      </w:pPr>
      <w:bookmarkStart w:id="4" w:name="__RefHeading___Toc126314962"/>
      <w:bookmarkEnd w:id="4"/>
      <w:r>
        <w:rPr>
          <w:rFonts w:ascii="Liberation Serif" w:hAnsi="Liberation Serif"/>
          <w:sz w:val="24"/>
          <w:szCs w:val="24"/>
          <w:lang w:val="ru-RU"/>
        </w:rPr>
        <w:t>Таблица 3. Перечень и объем выполняемых работ</w:t>
      </w:r>
    </w:p>
    <w:tbl>
      <w:tblPr>
        <w:tblW w:w="1007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025"/>
        <w:gridCol w:w="2809"/>
        <w:gridCol w:w="2390"/>
      </w:tblGrid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п/п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Единица измерения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</w:t>
            </w:r>
          </w:p>
        </w:tc>
        <w:tc>
          <w:tcPr>
            <w:tcW w:w="4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Liberation Serif" w:hAnsi="Liberation Serif" w:cs="Liberation Serif;Times New Roman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</w:pPr>
            <w:r>
              <w:rPr>
                <w:rFonts w:cs="Liberation Serif;Times New Roman" w:ascii="Liberation Serif" w:hAnsi="Liberation Serif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ВЛ 110 Новицкое-Тайфун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;Times New Roman" w:hAnsi="Liberation Serif;Times New Roman" w:cs="Liberation Serif;Times New Roman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Liberation Serif;Times New Roman" w:ascii="Liberation Serif;Times New Roman" w:hAnsi="Liberation Serif;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В соответствии с ведомостями дефектов и объемов работ </w:t>
            </w:r>
            <w:r>
              <w:rPr>
                <w:rStyle w:val="FontStyle30"/>
                <w:rFonts w:cs="Liberation Serif;Times New Roman" w:ascii="Liberation Serif;Times New Roman" w:hAnsi="Liberation Serif;Times New Roman"/>
                <w:b w:val="false"/>
                <w:i w:val="false"/>
                <w:iCs w:val="false"/>
                <w:sz w:val="24"/>
                <w:szCs w:val="24"/>
              </w:rPr>
              <w:t>(Приложения № 1.1- 1.6 к настоящим ТТ)</w:t>
            </w:r>
          </w:p>
        </w:tc>
      </w:tr>
    </w:tbl>
    <w:p>
      <w:pPr>
        <w:pStyle w:val="Heading4"/>
        <w:keepNext w:val="true"/>
        <w:widowControl/>
        <w:bidi w:val="0"/>
        <w:spacing w:before="240" w:after="240"/>
        <w:ind w:left="0" w:right="0" w:firstLine="567"/>
        <w:rPr>
          <w:rFonts w:ascii="Liberation Serif" w:hAnsi="Liberation Serif"/>
          <w:i w:val="false"/>
          <w:i w:val="false"/>
          <w:iCs w:val="false"/>
          <w:sz w:val="24"/>
          <w:szCs w:val="24"/>
          <w:lang w:val="ru-RU"/>
        </w:rPr>
      </w:pPr>
      <w:r>
        <w:rPr>
          <w:rFonts w:ascii="Liberation Serif" w:hAnsi="Liberation Serif"/>
          <w:i w:val="false"/>
          <w:iCs w:val="false"/>
          <w:sz w:val="24"/>
          <w:szCs w:val="24"/>
          <w:lang w:val="ru-RU"/>
        </w:rPr>
        <w:t>2.1.2. Требования к срокам выполнения работ</w:t>
      </w:r>
    </w:p>
    <w:p>
      <w:pPr>
        <w:pStyle w:val="Heading1"/>
        <w:keepNext w:val="true"/>
        <w:widowControl/>
        <w:numPr>
          <w:ilvl w:val="0"/>
        </w:numPr>
        <w:bidi w:val="0"/>
        <w:spacing w:before="240" w:after="240"/>
        <w:ind w:left="0" w:right="0" w:firstLine="567"/>
        <w:rPr>
          <w:rFonts w:ascii="Liberation Serif" w:hAnsi="Liberation Serif"/>
          <w:sz w:val="24"/>
          <w:szCs w:val="24"/>
          <w:lang w:val="ru-RU"/>
        </w:rPr>
      </w:pPr>
      <w:bookmarkStart w:id="5" w:name="__RefHeading___Toc126314964"/>
      <w:bookmarkEnd w:id="5"/>
      <w:r>
        <w:rPr>
          <w:rFonts w:ascii="Liberation Serif" w:hAnsi="Liberation Serif"/>
          <w:sz w:val="24"/>
          <w:szCs w:val="24"/>
          <w:lang w:val="ru-RU"/>
        </w:rPr>
        <w:t xml:space="preserve">Таблица 4. </w:t>
      </w:r>
      <w:bookmarkStart w:id="6" w:name="_Hlk50465284"/>
      <w:r>
        <w:rPr>
          <w:rFonts w:ascii="Liberation Serif" w:hAnsi="Liberation Serif"/>
          <w:sz w:val="24"/>
          <w:szCs w:val="24"/>
          <w:lang w:val="ru-RU"/>
        </w:rPr>
        <w:t xml:space="preserve">Требования по срокам </w:t>
      </w:r>
      <w:bookmarkEnd w:id="6"/>
      <w:r>
        <w:rPr>
          <w:rFonts w:ascii="Liberation Serif" w:hAnsi="Liberation Serif"/>
          <w:sz w:val="24"/>
          <w:szCs w:val="24"/>
          <w:lang w:val="ru-RU"/>
        </w:rPr>
        <w:t>выполнения работ</w:t>
      </w:r>
    </w:p>
    <w:tbl>
      <w:tblPr>
        <w:tblW w:w="1007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025"/>
        <w:gridCol w:w="2809"/>
        <w:gridCol w:w="2390"/>
      </w:tblGrid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п/п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</w:t>
            </w:r>
          </w:p>
        </w:tc>
        <w:tc>
          <w:tcPr>
            <w:tcW w:w="40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left"/>
              <w:rPr>
                <w:rFonts w:ascii="Liberation Serif" w:hAnsi="Liberation Serif" w:cs="Liberation Serif;Times New Roman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</w:pPr>
            <w:r>
              <w:rPr>
                <w:rFonts w:cs="Liberation Serif;Times New Roman" w:ascii="Liberation Serif" w:hAnsi="Liberation Serif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ВЛ 110 Новицкое-Тайфун</w:t>
            </w:r>
          </w:p>
        </w:tc>
        <w:tc>
          <w:tcPr>
            <w:tcW w:w="28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С даты, следующей за датой заключения Договора подряда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  <w:shd w:fill="auto" w:val="clear"/>
              </w:rPr>
              <w:t>В течение 50 дней с даты заключения Договора подряда</w:t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1"/>
        <w:keepLines/>
        <w:numPr>
          <w:ilvl w:val="0"/>
        </w:numPr>
        <w:spacing w:before="240" w:after="240"/>
        <w:ind w:left="0" w:right="0" w:hanging="0"/>
        <w:rPr>
          <w:rFonts w:ascii="Liberation Serif" w:hAnsi="Liberation Serif"/>
          <w:sz w:val="24"/>
          <w:szCs w:val="24"/>
        </w:rPr>
      </w:pPr>
      <w:bookmarkStart w:id="7" w:name="__RefHeading___Toc126314966"/>
      <w:bookmarkEnd w:id="7"/>
      <w:r>
        <w:rPr>
          <w:rFonts w:ascii="Liberation Serif" w:hAnsi="Liberation Serif"/>
          <w:i w:val="false"/>
          <w:iCs w:val="false"/>
          <w:sz w:val="24"/>
          <w:szCs w:val="24"/>
          <w:lang w:val="ru-RU"/>
        </w:rPr>
        <w:t>2.2. Требования к качеству продукции</w:t>
      </w:r>
    </w:p>
    <w:p>
      <w:pPr>
        <w:pStyle w:val="Heading1"/>
        <w:keepNext w:val="true"/>
        <w:widowControl/>
        <w:numPr>
          <w:ilvl w:val="0"/>
        </w:numPr>
        <w:bidi w:val="0"/>
        <w:spacing w:before="240" w:after="240"/>
        <w:ind w:left="0" w:right="0" w:firstLine="56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Таблица </w:t>
      </w:r>
      <w:r>
        <w:rPr>
          <w:rFonts w:ascii="Liberation Serif" w:hAnsi="Liberation Serif"/>
          <w:sz w:val="24"/>
          <w:szCs w:val="24"/>
          <w:lang w:val="ru-RU"/>
        </w:rPr>
        <w:t>5</w:t>
      </w:r>
      <w:r>
        <w:rPr>
          <w:rFonts w:ascii="Liberation Serif" w:hAnsi="Liberation Serif"/>
          <w:sz w:val="24"/>
          <w:szCs w:val="24"/>
        </w:rPr>
        <w:t xml:space="preserve">. Требования к </w:t>
      </w:r>
      <w:r>
        <w:rPr>
          <w:rFonts w:ascii="Liberation Serif" w:hAnsi="Liberation Serif"/>
          <w:sz w:val="24"/>
          <w:szCs w:val="24"/>
          <w:lang w:val="ru-RU"/>
        </w:rPr>
        <w:t>качеству работ</w:t>
      </w:r>
      <w:r>
        <w:rPr>
          <w:rFonts w:ascii="Liberation Serif" w:hAnsi="Liberation Serif"/>
          <w:sz w:val="24"/>
          <w:szCs w:val="24"/>
        </w:rPr>
        <w:t xml:space="preserve"> </w:t>
      </w:r>
    </w:p>
    <w:tbl>
      <w:tblPr>
        <w:tblW w:w="10188" w:type="dxa"/>
        <w:jc w:val="left"/>
        <w:tblInd w:w="-1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030"/>
        <w:gridCol w:w="4773"/>
        <w:gridCol w:w="2562"/>
      </w:tblGrid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Подтверждение участником соответствия в виде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val="ru-RU" w:eastAsia="ru-RU" w:bidi="ar-SA"/>
              </w:rPr>
              <w:t>согласия с требованием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2"/>
              </w:numPr>
              <w:snapToGrid w:val="false"/>
              <w:spacing w:before="60" w:after="60"/>
              <w:ind w:left="360" w:right="0" w:hanging="360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Строительно-монтажные работы Подрядчик выполняет в соответствии с согласованной Заказчиком рабочей документацией, в объёме данных технических требований.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Перед началом работ Подрядчик выполняет организационно - технические мероприятия, обеспечивающие безопасное выполнение работ (назначение ответственного лица на объекте, извещение заинтересованных организаций и сетедержателей о начале выполнения работ в подконтрольной зоне их объектов, разработка проекта производства работ (ППР) и получение всех необходимых согласований).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1.1.3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организует доставку персонала к местам производимых работ и, при необходимости, создает условия для проживания своего персонала на объекте.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персонал на рабочих местах средствами связи для ежедневного допуска и контроля за ходом выполнения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1.1.4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организует перебазировку специальной техники и обеспечивает ее эксплуатацию в течении всего периода выполнения работ. Исходя из условий работ Подрядчик обеспечивает комплектование техники необходимыми защитными средствами, приспособлениями и оснасткой.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С учетом времени года и трасс ВЛ для выполнения работ Подрядчик привлекает необходимую высокопроходимую специализированную технику.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1.1.5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доставку на объект всех необходимых материалов, в том числе давальческих материалов, полученных на складе Заказчика, расположенного по адресу: г. Уссурийск, ул. Резервная, д. 22А.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1.1.6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передает Заказчику демонтированные материалы и оборудование, высвобождаемое после демонтажа, с оформлением Акта передачи демонтированных материалов и оборудования на склад базы Партизанского РЭС Заказчика, расположенного по адресу: г. Партизанск, ул. Сурикова, д. 1Б.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1.1.7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После завершения работ на Объекте Подрядчик: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выполняет уборку рабочего места от посторонних предметов, механизмов, приспособлений, отходов;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предъявляет рабочее место представителю Заказчика и подписывает Акт приемки объекта после ремонта.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Работы выполняются  Подрядчиком в соответствии с Проектом производства работ (ППР) и Графиком выполнения работ, разработанными Подрядчиком и согласованными Заказчиком. ППР Подрядчику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1.2.2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Заявка на вывод оборудования в ремонт (отключение оборудования от напряжения) подается Подрядчиком не позднее, чем за 10 (десять) дней до начала производства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1.2.3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Обязательное выполнение персоналом Подрядчика действующих редакций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Эскизы предупреждающих плакатов согласовать с Заказчиком.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>
          <w:trHeight w:val="2043" w:hRule="atLeast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1.3.1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Материалы, предоставляемые Подрядчиком должны соответствовать </w:t>
            </w:r>
            <w:r>
              <w:rPr>
                <w:rFonts w:ascii="Liberation Serif" w:hAnsi="Liberation Serif"/>
                <w:i w:val="false"/>
                <w:iCs w:val="false"/>
                <w:color w:val="000000"/>
                <w:sz w:val="24"/>
                <w:szCs w:val="24"/>
              </w:rPr>
              <w:t>государственным стандартам, техническим условиям и иметь соответствующие сертификаты,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технические паспорта или другие документы, удостоверяющие их качество. </w:t>
            </w:r>
            <w:r>
              <w:rPr>
                <w:i w:val="false"/>
                <w:iCs w:val="false"/>
                <w:kern w:val="0"/>
                <w:sz w:val="24"/>
                <w:szCs w:val="24"/>
              </w:rPr>
              <w:t>Оборудование и материалы доставляются к месту производства работ Подрядчиком самостоятельно готовыми к применению.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Тип и марка применяемых материалов перед приобретением согласовываются с Заказчиком.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737" w:hRule="atLeast"/>
        </w:trPr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1.3.2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Fonts w:eastAsia="Times New Roman" w:cs="Times New Roman"/>
                <w:sz w:val="24"/>
                <w:szCs w:val="24"/>
                <w:lang w:val="ru-RU" w:eastAsia="ru-RU" w:bidi="ar-SA"/>
              </w:rPr>
              <w:t>Применяемые материалы и оборудование должны быть новыми, не использованными ранее.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Liberation Serif" w:hAnsi="Liberation Serif" w:eastAsia="Times New Roman" w:cs="Times New Roman"/>
                <w:i w:val="false"/>
                <w:i w:val="false"/>
                <w:iCs w:val="false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Под новым следует понимать материалы и оборудование, которые не были в употреблении, не проходили ремонт, в том числе восстановление, замену составных частей, восстановление потребительских свойств.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408"/>
                <w:tab w:val="left" w:pos="426" w:leader="none"/>
              </w:tabs>
              <w:spacing w:before="60"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Обеспечение Подрядчиком внутреннего строительного контроля в соответствии с требованиями Постановления Правительства РФ от 21.06.2010 № 468 (ред. от 06.05.2024)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«ПЭС».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Подрядчиком должен быть обеспечен беспрепятственный доступ представителям Заказчика на строительную площадку в течение всего периода производства работ. Указания представителей Заказчика и/или лиц, осуществляющих технический надзор Заказчика, являются обязательными и подлежат беспрекословному выполнению Подрядчиком.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1.4.4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нарушении Подрядчиком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 Заказчика, и Подрядчику устанавливается срок устранения нарушения. После устранения нарушения Заказчик принимает решение о продолжении выполнения работ.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1.5.1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при выполнении работ на объекте: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качественный и количественный состав бригады в соответствии с требованиями Правил по охране труда при эксплуатации электроустановок, утвержденных приказом Министерства труда и социальной защиты РФ от 15.12.2020 № 903н (ред. от 29.04.2022) на каждом рабочем месте;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обязательное выполнение персоналом действующих редакций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работ, не связанных с выводом оборудования в ремонт (когда оборудование не отключено от напряжения), Подрядчик при выполнении работ на объекте: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обеспечивает применение работниками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опознавательных жилетов-накидок. 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1.5.2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обеспечивает применение работниками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средства индивидуальной защиты (комплекты) от термических рисков электрической дуги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при выполнении работ на объекте: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без снятия напряжения с электроустановки, выполняемые с прикосновением к токоведущим частям, находящимся под напряжением или на расстоянии от этих токоведущих частей, менее допустимых, указанных в п. 3.3. и п. 47.15 Правил по охране труда при эксплуатации электроустановок, от 15.12.2020 No 903н;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испытание оборудования повышенным напряжением;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со снятием рабочего напряжения с электроустановки или ее части с прикосновением к токоведущим частям, находящимся под наведенным напряжением более 25 В на рабочем месте или на расстоянии от этих токоведущих частей менее допустимого.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1.5.3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Внешний вид комплектов и жилетов-накидок должен соответствовать требованиям каталога специальной одежды и средств индивидуальной защиты.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самостоятельно и за свой счет (без требования дополнительной оплаты от Заказчика) осуществляет приобретение специальной одежды.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В случае привлечения к выполнению работ по Договору субподрядчиков Подрядчик обязан обеспечить выполнение данного требования работниками субподрядных организаций, выполняющих работы на объектах Заказчика.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1.6.1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обеспечивает выполнение работ в соответствии с действующими редакциями государственных норм, правил, технических регламентов: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Правила технической эксплуатации электрических станций и сетей РФ, утверждены Приказом Министерства энергетики РФ от 4 октября 2022 года № 1070;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СП 48.13330.2019 "СНиП 12-01-2004 «Организация строительства»;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1418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 1479 «О противопожарном режиме».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1.6.2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 выполнении работ Подрядчик обеспечивает соблюдение требований Правил по охране труда при эксплуатации электроустановок (Приказ от 15.12.2020 № </w:t>
            </w:r>
            <w:r>
              <w:rPr>
                <w:rFonts w:ascii="Liberation Serif" w:hAnsi="Liberation Serif"/>
                <w:bCs/>
                <w:i w:val="false"/>
                <w:iCs w:val="false"/>
                <w:sz w:val="24"/>
                <w:szCs w:val="24"/>
              </w:rPr>
              <w:t>903Н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в ред. Приказа  Минтруда России от 29.04.2022 N 279н (в ред. Приказа Минтруда РФ от 29.04.2025 N 287н)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1.6.3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Обеспечение Подрядчиком внутреннего строительного контроля при выполнении работ соблюдение требований Постановления Правительства РФ от 21.06.2010 N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(в ред. Постановления Правительства РФ от 06.05.224 N 589).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1.6.4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408"/>
                <w:tab w:val="left" w:pos="851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 выполнении работ Подрядчик обеспечивает:</w:t>
            </w:r>
          </w:p>
          <w:p>
            <w:pPr>
              <w:pStyle w:val="Normal"/>
              <w:widowControl w:val="false"/>
              <w:tabs>
                <w:tab w:val="clear" w:pos="408"/>
                <w:tab w:val="left" w:pos="851" w:leader="none"/>
              </w:tabs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участие своего персонала, допускаемого к выполнению работ на объектах Заказчика, в том числе в электроустановках Заказчика, в получении вводного инструктажа и первичного инструктажа на рабочем месте, проводимых персоналом Заказчика с применением видеофиксации;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- участие своего персонала, допускаемого в электроустановки Заказчика в качестве командированного персонала или в качестве персонала строительно-монтажных (ремонтных, наладочных) организаций, в проводимой персоналом Заказчика видеофиксации допусков персонала Подрядчика к работе в электроустановках Заказчика;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- обеспечивает участие своего персонала, выполняющего работы на объектах Общества в составе бригад, в проводимых персоналом Заказчика проверках данных бригад с применением видеофиксации;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- совместно с уведомлением о допуске (сопроводительным письмом) обеспечивает предоставление согласий вышеуказанного персонала на обработку персональных данных по форме Приложения № 2 к настоящим ТТ согласно утвержденной формы Приложения В к Порядку работы с переносными средствами видеофиксации в АО «ДРСК» Прк-СМОЗиОБТ-9.1-01/09-26, приказ АО «ДРСК» от 05.06.2026 № 247.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2"/>
              </w:numPr>
              <w:snapToGrid w:val="false"/>
              <w:spacing w:before="60" w:after="60"/>
              <w:ind w:left="360" w:right="0" w:hanging="360"/>
              <w:contextualSpacing/>
              <w:jc w:val="center"/>
              <w:rPr>
                <w:rFonts w:ascii="Liberation Serif" w:hAnsi="Liberation Serif"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/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rStyle w:val="Style15"/>
                <w:rFonts w:ascii="Liberation Serif" w:hAnsi="Liberation Serif"/>
                <w:b w:val="false"/>
                <w:bCs/>
                <w:i w:val="false"/>
                <w:sz w:val="24"/>
                <w:szCs w:val="24"/>
                <w:shd w:fill="auto" w:val="clear"/>
              </w:rPr>
              <w:t xml:space="preserve">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2.1.1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Ежемесячная сдача-приемка объемов выполненных работ на объекте Заказчика производится в срок до 25 числа отчетного месяца.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Приемка выполненных работ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1013. 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2.1.2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Подрядчик оформляет и передает Заказчику подписанный со своей стороны Акт о приемке выполненных работ по форме КС2 в 2 (двух) экземплярах с приложением приемо-сдаточной и исполнительной документации: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- акты освидетельствования скрытых работ в 3 (трех) экз.;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- фотоотчет о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выполненных работах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 (в т.ч. скрытых), в эл. виде.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 окончании выполнения работ Подрядчик предоставляет </w:t>
            </w:r>
            <w:r>
              <w:rPr>
                <w:rFonts w:eastAsia="Times New Roman" w:cs="Times New Roman" w:ascii="Liberation Serif" w:hAnsi="Liberation Serif"/>
                <w:i w:val="false"/>
                <w:iCs w:val="false"/>
                <w:sz w:val="24"/>
                <w:szCs w:val="24"/>
                <w:lang w:val="ru-RU" w:eastAsia="ru-RU" w:bidi="ar-SA"/>
              </w:rPr>
              <w:t>исполнительные схемы; паспорта на оборудование и конструкции, сертификаты соответствия на материалы;  иная необходимая документация, предусмотренная нормативными документами.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2.1.3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Приёмка Объекта из ремонта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приемки Объекта из ремонта, актов освидетельствования скрытых работ и фотоотчета в электронном виде о выполненных работах (в т.ч. скрытых).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2.1.4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Приемка объемов выполненных работ производится при предъявлении подтверждающей Справки по выполнению физических объем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>ов (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Приложение № 3</w:t>
            </w:r>
            <w:r>
              <w:rPr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 xml:space="preserve"> </w:t>
            </w:r>
            <w:r>
              <w:rPr>
                <w:rStyle w:val="FontStyle30"/>
                <w:rFonts w:eastAsia="Calibri" w:cs="Liberation Serif;Times New Roman" w:ascii="Liberation Serif;Times New Roman" w:hAnsi="Liberation Serif;Times New Roman"/>
                <w:b w:val="false"/>
                <w:i w:val="false"/>
                <w:iCs w:val="false"/>
                <w:color w:val="000000"/>
                <w:sz w:val="24"/>
                <w:szCs w:val="24"/>
                <w:shd w:fill="auto" w:val="clear"/>
              </w:rPr>
              <w:t>к настоящим ТТ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  <w:shd w:fill="auto" w:val="clear"/>
              </w:rPr>
              <w:t>), с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>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2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1"/>
                <w:numId w:val="2"/>
              </w:numPr>
              <w:snapToGrid w:val="false"/>
              <w:spacing w:before="60" w:after="60"/>
              <w:ind w:left="-117" w:right="0" w:firstLine="142"/>
              <w:contextualSpacing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Style w:val="Style15"/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 xml:space="preserve">Требования к </w:t>
            </w:r>
            <w:r>
              <w:rPr>
                <w:rStyle w:val="Style15"/>
                <w:rFonts w:ascii="Liberation Serif" w:hAnsi="Liberation Serif"/>
                <w:b/>
                <w:bCs/>
                <w:i w:val="false"/>
                <w:iCs w:val="false"/>
                <w:sz w:val="24"/>
                <w:szCs w:val="24"/>
                <w:shd w:fill="FFFFFF" w:val="clear"/>
              </w:rPr>
              <w:t>оформлению документации</w:t>
            </w:r>
          </w:p>
        </w:tc>
        <w:tc>
          <w:tcPr>
            <w:tcW w:w="2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Liberation Serif" w:hAnsi="Liberation Serif"/>
                <w:b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i w:val="false"/>
                <w:iCs w:val="false"/>
                <w:sz w:val="24"/>
                <w:szCs w:val="24"/>
              </w:rPr>
              <w:t>2.2.1</w:t>
            </w:r>
          </w:p>
        </w:tc>
        <w:tc>
          <w:tcPr>
            <w:tcW w:w="680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u w:val="singl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  <w:u w:val="single"/>
              </w:rPr>
              <w:t>Документы, оформляемые в процессе работ Подрядчиком, и согласованные с Заказчиком (направляются в СП и в Отдел подготовки и проведения ремонта филиала АО «ДРСК» «ПЭС»: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1) ППР (согласованный и утвержденный главным инженером СП, в 2 (двух) экз.). 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2) График выполнения работ (Приложение № 3 к Договору).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3) Письмо о допуске на объект с пофамильным перечнем персонала в соответствии с п. 2.3.10 Договора.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4) Наряды-допуски персонала к выполнению работ (сканкопии).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both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5) ФИО, подписи персонала Подрядчика в Журнале (Заказчика) регистрации первичного инструктажа по пожарной безопасности  (фото или сканкопия).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6) ФИО, подписи персонала Подрядчика в Журнале (Заказчика) регистрации вводного инструктажа  по пожарной безопасности (фото или сканкопия).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7) ФИО, подписи персонала Подрядчика в Журнале (Заказчика) регистрации первичного инструктажа на рабочем месте по охране труда (фото или сканкопия).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8) ФИО, подписи персонала Подрядчика в Журнале (Заказчика) регистрации вводного инструктажа на рабочем месте по охране труда (фото или сканкопия).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9) Согласия на обработку персональных данных персонала (сканкопии).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10) Приказы (договоры) о приеме на работу персонала (сканкопии).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11) Удостоверения по электробезопасности с указанием группы допуска к работам (сканкопии).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12) Акты сдачи-приемки места производства Работ (Приложение № 5.1 к Договору).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13) Акт сдачи-приемки технической документации, передаваемой Заказчиком (Приложение № 5.2 к Договору).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14) Справка по объемам выполненных работ (Приложение № 3 к настоящим ТТ).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15) Фотографии Объектов (до и после выполнения работ).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16) Акта приемки Объекта из ремонта.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17) Документы (сканкопии) на используемые при производстве работ транспорт и механизмы (паспорт ПТС/договор аренды ТС/иной документ, подтверждающий законное владение транспортного средства или машины).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18) При согласовании привлечения Субподрядчика - документы согласно п. 2.4.2 Договора; Справка о заключенных договорах Подрядчика с Субподрядчиками (Приложение № 8 к Договору).</w:t>
            </w:r>
          </w:p>
          <w:p>
            <w:pPr>
              <w:pStyle w:val="Normal"/>
              <w:widowControl w:val="false"/>
              <w:bidi w:val="0"/>
              <w:spacing w:before="0" w:after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19) Перечень допусков, разрешений и лицензий Подрядчика (Приложение № 6 к Договору). </w:t>
            </w:r>
          </w:p>
        </w:tc>
        <w:tc>
          <w:tcPr>
            <w:tcW w:w="2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0"/>
                <w:numId w:val="2"/>
              </w:numPr>
              <w:snapToGrid w:val="false"/>
              <w:spacing w:before="60" w:after="60"/>
              <w:ind w:left="360" w:right="0" w:hanging="36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20"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9"/>
              <w:widowControl w:val="false"/>
              <w:numPr>
                <w:ilvl w:val="2"/>
                <w:numId w:val="2"/>
              </w:numPr>
              <w:snapToGrid w:val="false"/>
              <w:spacing w:before="60" w:after="60"/>
              <w:ind w:left="1224" w:right="0" w:hanging="1199"/>
              <w:contextualSpacing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3.1</w:t>
            </w:r>
          </w:p>
        </w:tc>
        <w:tc>
          <w:tcPr>
            <w:tcW w:w="6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Гарантия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оговаривается в Договоре подряда.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Подрядчик гарантирует своевременное и качественное выполнение работ, а также устранение дефектов выполненных работ в течение гарантийного срока - 24 (двадцать четыре) месяца с момента приемки Объекта из ремонта с даты подписания Акта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приемки Объекта из ремонта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. 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Гарантия качества на материалы, поставляемые Подрядчиком, составляет 24 (двадцать четыре) месяца с даты подписания Акта 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4"/>
                <w:szCs w:val="24"/>
              </w:rPr>
              <w:t>приемки Объекта из ремонта</w:t>
            </w:r>
            <w:r>
              <w:rPr>
                <w:rFonts w:ascii="Liberation Serif" w:hAnsi="Liberation Serif"/>
                <w:i w:val="false"/>
                <w:iCs w:val="false"/>
                <w:sz w:val="24"/>
                <w:szCs w:val="24"/>
              </w:rPr>
              <w:t xml:space="preserve">.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  <w:bCs/>
                <w:i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sz w:val="24"/>
          <w:szCs w:val="24"/>
          <w:lang w:val="ru-RU"/>
        </w:rPr>
      </w:pPr>
      <w:bookmarkStart w:id="8" w:name="__RefHeading___Toc126314967"/>
      <w:bookmarkEnd w:id="8"/>
      <w:r>
        <w:rPr>
          <w:rFonts w:ascii="Liberation Serif" w:hAnsi="Liberation Serif"/>
          <w:sz w:val="24"/>
          <w:szCs w:val="24"/>
          <w:lang w:val="ru-RU"/>
        </w:rPr>
        <w:t>3. Требования к документации по ценообразованию на этапе закупки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>
        <w:rPr>
          <w:rFonts w:ascii="Liberation Serif" w:hAnsi="Liberation Serif"/>
          <w:b w:val="false"/>
          <w:sz w:val="24"/>
          <w:szCs w:val="24"/>
          <w:lang w:eastAsia="ru-RU"/>
        </w:rPr>
        <w:t xml:space="preserve">требований к ценообразованию при формировании Коммерческого предложения в составе заявки </w:t>
      </w:r>
      <w:r>
        <w:rPr>
          <w:rFonts w:ascii="Liberation Serif" w:hAnsi="Liberation Serif"/>
          <w:b w:val="false"/>
          <w:sz w:val="24"/>
          <w:szCs w:val="24"/>
          <w:lang w:val="ru-RU" w:eastAsia="ru-RU"/>
        </w:rPr>
        <w:t>У</w:t>
      </w:r>
      <w:r>
        <w:rPr>
          <w:rFonts w:ascii="Liberation Serif" w:hAnsi="Liberation Serif"/>
          <w:b w:val="false"/>
          <w:sz w:val="24"/>
          <w:szCs w:val="24"/>
          <w:lang w:eastAsia="ru-RU"/>
        </w:rPr>
        <w:t>частник</w:t>
      </w:r>
      <w:r>
        <w:rPr>
          <w:rFonts w:ascii="Liberation Serif" w:hAnsi="Liberation Serif"/>
          <w:b w:val="false"/>
          <w:sz w:val="24"/>
          <w:szCs w:val="24"/>
          <w:shd w:fill="auto" w:val="clear"/>
          <w:lang w:eastAsia="ru-RU"/>
        </w:rPr>
        <w:t>а</w:t>
      </w:r>
      <w:r>
        <w:rPr>
          <w:rFonts w:ascii="Liberation Serif" w:hAnsi="Liberation Serif"/>
          <w:b w:val="false"/>
          <w:sz w:val="24"/>
          <w:szCs w:val="24"/>
          <w:shd w:fill="auto" w:val="clear"/>
        </w:rPr>
        <w:t xml:space="preserve"> </w:t>
      </w:r>
      <w:r>
        <w:rPr>
          <w:rFonts w:ascii="Liberation Serif" w:hAnsi="Liberation Serif"/>
          <w:b w:val="false"/>
          <w:bCs w:val="false"/>
          <w:sz w:val="24"/>
          <w:szCs w:val="24"/>
          <w:shd w:fill="auto" w:val="clear"/>
        </w:rPr>
        <w:t xml:space="preserve">(Приложение № </w:t>
      </w:r>
      <w:r>
        <w:rPr>
          <w:rFonts w:ascii="Liberation Serif" w:hAnsi="Liberation Serif"/>
          <w:b w:val="false"/>
          <w:bCs w:val="false"/>
          <w:sz w:val="24"/>
          <w:szCs w:val="24"/>
          <w:shd w:fill="auto" w:val="clear"/>
          <w:lang w:val="ru-RU"/>
        </w:rPr>
        <w:t>4 к настоящему ТТ</w:t>
      </w:r>
      <w:r>
        <w:rPr>
          <w:rFonts w:ascii="Liberation Serif" w:hAnsi="Liberation Serif"/>
          <w:b w:val="false"/>
          <w:bCs w:val="false"/>
          <w:sz w:val="24"/>
          <w:szCs w:val="24"/>
          <w:shd w:fill="auto" w:val="clear"/>
        </w:rPr>
        <w:t>)</w:t>
      </w:r>
      <w:r>
        <w:rPr>
          <w:rFonts w:ascii="Liberation Serif" w:hAnsi="Liberation Serif"/>
          <w:b w:val="false"/>
          <w:bCs w:val="false"/>
          <w:sz w:val="24"/>
          <w:szCs w:val="24"/>
          <w:shd w:fill="auto" w:val="clear"/>
          <w:lang w:val="ru-RU"/>
        </w:rPr>
        <w:t>.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b w:val="false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>3.2. 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sz w:val="24"/>
          <w:szCs w:val="24"/>
        </w:rPr>
      </w:pPr>
      <w:bookmarkStart w:id="9" w:name="__RefHeading___Toc126314968"/>
      <w:bookmarkEnd w:id="9"/>
      <w:r>
        <w:rPr>
          <w:rFonts w:ascii="Liberation Serif" w:hAnsi="Liberation Serif"/>
          <w:sz w:val="24"/>
          <w:szCs w:val="24"/>
          <w:lang w:val="ru-RU"/>
        </w:rPr>
        <w:t>4. Требования к документации по ценообразованию на этапе заключения (исполнения) Договора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4.1. </w:t>
      </w:r>
      <w:bookmarkStart w:id="10" w:name="__RefHeading___Toc126314969"/>
      <w:r>
        <w:rPr>
          <w:rFonts w:ascii="Liberation Serif" w:hAnsi="Liberation Serif"/>
          <w:b w:val="false"/>
          <w:sz w:val="24"/>
          <w:szCs w:val="24"/>
        </w:rPr>
        <w:t xml:space="preserve">Сметная документация разработана </w:t>
      </w:r>
      <w:r>
        <w:rPr>
          <w:rFonts w:ascii="Liberation Serif" w:hAnsi="Liberation Serif"/>
          <w:b w:val="false"/>
          <w:sz w:val="24"/>
          <w:szCs w:val="24"/>
          <w:lang w:val="ru-RU"/>
        </w:rPr>
        <w:t>З</w:t>
      </w:r>
      <w:r>
        <w:rPr>
          <w:rFonts w:ascii="Liberation Serif" w:hAnsi="Liberation Serif"/>
          <w:b w:val="false"/>
          <w:sz w:val="24"/>
          <w:szCs w:val="24"/>
        </w:rPr>
        <w:t>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Heading4"/>
        <w:numPr>
          <w:ilvl w:val="0"/>
          <w:numId w:val="0"/>
        </w:numPr>
        <w:spacing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4.2. Внесение изменений в сметную документацию </w:t>
      </w:r>
      <w:r>
        <w:rPr>
          <w:rFonts w:ascii="Liberation Serif" w:hAnsi="Liberation Serif"/>
          <w:b w:val="false"/>
          <w:sz w:val="24"/>
          <w:szCs w:val="24"/>
          <w:lang w:val="ru-RU"/>
        </w:rPr>
        <w:t>З</w:t>
      </w:r>
      <w:r>
        <w:rPr>
          <w:rFonts w:ascii="Liberation Serif" w:hAnsi="Liberation Serif"/>
          <w:b w:val="false"/>
          <w:sz w:val="24"/>
          <w:szCs w:val="24"/>
        </w:rPr>
        <w:t>аказчика, кроме применения понижающего коэффициента в соответствии с п. 4.1, не допускается.</w:t>
      </w:r>
    </w:p>
    <w:p>
      <w:pPr>
        <w:pStyle w:val="Normal"/>
        <w:rPr>
          <w:rFonts w:ascii="Liberation Serif" w:hAnsi="Liberation Serif"/>
          <w:b/>
          <w:sz w:val="24"/>
          <w:szCs w:val="24"/>
          <w:lang w:val="ru-RU"/>
        </w:rPr>
      </w:pPr>
      <w:r>
        <w:rPr>
          <w:rFonts w:ascii="Liberation Serif" w:hAnsi="Liberation Serif"/>
          <w:b/>
          <w:sz w:val="24"/>
          <w:szCs w:val="24"/>
          <w:lang w:val="ru-RU"/>
        </w:rPr>
      </w:r>
    </w:p>
    <w:p>
      <w:pPr>
        <w:pStyle w:val="Heading1"/>
        <w:keepLines/>
        <w:numPr>
          <w:ilvl w:val="0"/>
        </w:numPr>
        <w:ind w:left="357" w:right="0" w:hanging="357"/>
        <w:jc w:val="center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</w:rPr>
        <w:t>5. Приложения</w:t>
      </w:r>
      <w:bookmarkEnd w:id="10"/>
    </w:p>
    <w:p>
      <w:pPr>
        <w:pStyle w:val="Normal"/>
        <w:numPr>
          <w:ilvl w:val="0"/>
          <w:numId w:val="0"/>
        </w:numPr>
        <w:tabs>
          <w:tab w:val="clear" w:pos="408"/>
          <w:tab w:val="left" w:pos="75" w:leader="none"/>
        </w:tabs>
        <w:spacing w:before="60" w:after="0"/>
        <w:ind w:left="0" w:right="0" w:hanging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1. Ведомость дефектов и объемов работ;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2. Согласие на обработку персональных данных;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3. Справка по объемам выполненных работ;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4. Требования к ценообразованию при формировании Коммерческого предложения в составе заявки Участника;</w:t>
      </w:r>
    </w:p>
    <w:p>
      <w:pPr>
        <w:pStyle w:val="Normal"/>
        <w:spacing w:before="60" w:after="0"/>
        <w:jc w:val="both"/>
        <w:rPr>
          <w:rFonts w:ascii="Liberation Serif" w:hAnsi="Liberation Serif"/>
          <w:i w:val="false"/>
          <w:i w:val="false"/>
          <w:iCs w:val="false"/>
          <w:sz w:val="24"/>
          <w:szCs w:val="24"/>
        </w:rPr>
      </w:pPr>
      <w:r>
        <w:rPr>
          <w:rFonts w:ascii="Liberation Serif" w:hAnsi="Liberation Serif"/>
          <w:i w:val="false"/>
          <w:iCs w:val="false"/>
          <w:sz w:val="24"/>
          <w:szCs w:val="24"/>
        </w:rPr>
        <w:t>5. Локальные сметные расчеты.</w:t>
      </w:r>
    </w:p>
    <w:sectPr>
      <w:headerReference w:type="default" r:id="rId2"/>
      <w:footerReference w:type="default" r:id="rId3"/>
      <w:type w:val="nextPage"/>
      <w:pgSz w:w="11906" w:h="16838"/>
      <w:pgMar w:left="1134" w:right="707" w:gutter="0" w:header="680" w:top="1134" w:footer="992" w:bottom="159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22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b w:val="false"/>
        <w:iCs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7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isplayBackgroundShape/>
  <w:defaultTabStop w:val="4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zh-CN" w:bidi="ar-SA"/>
    </w:rPr>
  </w:style>
  <w:style w:type="paragraph" w:styleId="Heading1">
    <w:name w:val="Heading 1"/>
    <w:basedOn w:val="Heading3"/>
    <w:next w:val="Normal"/>
    <w:qFormat/>
    <w:pPr>
      <w:numPr>
        <w:ilvl w:val="0"/>
        <w:numId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qFormat/>
    <w:pPr>
      <w:numPr>
        <w:ilvl w:val="1"/>
        <w:numId w:val="1"/>
      </w:numPr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  <w:lang w:val="ru-RU"/>
    </w:rPr>
  </w:style>
  <w:style w:type="paragraph" w:styleId="Heading4">
    <w:name w:val="Heading 4"/>
    <w:basedOn w:val="Heading3"/>
    <w:next w:val="Normal"/>
    <w:qFormat/>
    <w:pPr>
      <w:numPr>
        <w:ilvl w:val="3"/>
        <w:numId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mbria" w:hAnsi="Cambria" w:cs="Cambria"/>
      <w:i/>
      <w:iCs/>
      <w:color w:val="243F60"/>
      <w:sz w:val="20"/>
      <w:szCs w:val="20"/>
      <w:lang w:val="ru-RU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 w:cs="Cambria"/>
      <w:i/>
      <w:iCs/>
      <w:color w:val="404040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mbria" w:hAnsi="Cambria" w:cs="Cambria"/>
      <w:color w:val="4F81BD"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pPr>
      <w:numPr>
        <w:ilvl w:val="0"/>
        <w:numId w:val="0"/>
      </w:numPr>
      <w:spacing w:before="240" w:after="60"/>
      <w:outlineLvl w:val="8"/>
    </w:pPr>
    <w:rPr>
      <w:rFonts w:ascii="Arial" w:hAnsi="Arial" w:cs="Arial"/>
      <w:sz w:val="22"/>
      <w:szCs w:val="22"/>
      <w:lang w:val="ru-RU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b/>
      <w:bCs w:val="false"/>
      <w:sz w:val="24"/>
      <w:szCs w:val="24"/>
    </w:rPr>
  </w:style>
  <w:style w:type="character" w:styleId="WW8Num5z1">
    <w:name w:val="WW8Num5z1"/>
    <w:qFormat/>
    <w:rPr>
      <w:b/>
      <w:bCs/>
      <w:sz w:val="24"/>
      <w:szCs w:val="24"/>
    </w:rPr>
  </w:style>
  <w:style w:type="character" w:styleId="WW8Num5z2">
    <w:name w:val="WW8Num5z2"/>
    <w:qFormat/>
    <w:rPr>
      <w:sz w:val="24"/>
      <w:szCs w:val="24"/>
    </w:rPr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4">
    <w:name w:val="WW8Num8z4"/>
    <w:qFormat/>
    <w:rPr>
      <w:rFonts w:ascii="Times New Roman" w:hAnsi="Times New Roman" w:cs="Times New Roman"/>
    </w:rPr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b w:val="false"/>
      <w:bCs w:val="false"/>
      <w:i/>
      <w:iCs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i/>
      <w:sz w:val="24"/>
      <w:szCs w:val="24"/>
    </w:rPr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2"/>
      <w:position w:val="0"/>
      <w:sz w:val="28"/>
      <w:sz w:val="28"/>
      <w:szCs w:val="28"/>
      <w:u w:val="none"/>
      <w:vertAlign w:val="baseline"/>
      <w:em w:val="none"/>
    </w:rPr>
  </w:style>
  <w:style w:type="character" w:styleId="WW8Num16z1">
    <w:name w:val="WW8Num16z1"/>
    <w:qFormat/>
    <w:rPr>
      <w:b/>
      <w:bCs/>
      <w:i w:val="false"/>
      <w:iCs/>
      <w:sz w:val="24"/>
      <w:szCs w:val="24"/>
    </w:rPr>
  </w:style>
  <w:style w:type="character" w:styleId="WW8Num16z2">
    <w:name w:val="WW8Num16z2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>
      <w:rFonts w:ascii="Times New Roman" w:hAnsi="Times New Roman" w:cs="Times New Roman"/>
      <w:sz w:val="28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>
      <w:i/>
      <w:sz w:val="24"/>
      <w:szCs w:val="24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Times New Roman" w:hAnsi="Times New Roman" w:eastAsia="Calibri" w:cs="Times New Roman"/>
    </w:rPr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rFonts w:ascii="Times New Roman" w:hAnsi="Times New Roman" w:eastAsia="Times New Roman" w:cs="Times New Roman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i/>
      <w:sz w:val="24"/>
      <w:szCs w:val="24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Cs/>
      <w:i/>
      <w:iCs/>
      <w:color w:val="000000"/>
      <w:sz w:val="24"/>
      <w:szCs w:val="24"/>
    </w:rPr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Style">
    <w:name w:val="Основной шрифт абзаца"/>
    <w:qFormat/>
    <w:rPr/>
  </w:style>
  <w:style w:type="character" w:styleId="Style1">
    <w:name w:val="Символ сноски"/>
    <w:qFormat/>
    <w:rPr>
      <w:vertAlign w:val="superscript"/>
    </w:rPr>
  </w:style>
  <w:style w:type="character" w:styleId="PageNumber">
    <w:name w:val="Page Number"/>
    <w:basedOn w:val="Style"/>
    <w:rPr/>
  </w:style>
  <w:style w:type="character" w:styleId="Hyperlink">
    <w:name w:val="Hyperlink"/>
    <w:rPr>
      <w:color w:val="0000FF"/>
      <w:u w:val="single"/>
    </w:rPr>
  </w:style>
  <w:style w:type="character" w:styleId="Style2">
    <w:name w:val="Знак примечания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>
    <w:name w:val="Заголовок 6 Знак"/>
    <w:qFormat/>
    <w:rPr>
      <w:rFonts w:ascii="Cambria" w:hAnsi="Cambria" w:cs="Cambria"/>
      <w:i/>
      <w:iCs/>
      <w:color w:val="243F60"/>
      <w:lang w:val="ru-RU"/>
    </w:rPr>
  </w:style>
  <w:style w:type="character" w:styleId="7">
    <w:name w:val="Заголовок 7 Знак"/>
    <w:qFormat/>
    <w:rPr>
      <w:rFonts w:ascii="Cambria" w:hAnsi="Cambria" w:cs="Cambria"/>
      <w:i/>
      <w:iCs/>
      <w:color w:val="404040"/>
      <w:lang w:val="ru-RU"/>
    </w:rPr>
  </w:style>
  <w:style w:type="character" w:styleId="8">
    <w:name w:val="Заголовок 8 Знак"/>
    <w:qFormat/>
    <w:rPr>
      <w:rFonts w:ascii="Cambria" w:hAnsi="Cambria" w:cs="Cambria"/>
      <w:color w:val="4F81BD"/>
      <w:lang w:val="ru-RU"/>
    </w:rPr>
  </w:style>
  <w:style w:type="character" w:styleId="1">
    <w:name w:val="Заголовок 1 Знак"/>
    <w:qFormat/>
    <w:rPr>
      <w:rFonts w:eastAsia="Calibri"/>
      <w:b/>
      <w:sz w:val="28"/>
      <w:szCs w:val="28"/>
      <w:lang w:val="ru-RU"/>
    </w:rPr>
  </w:style>
  <w:style w:type="character" w:styleId="2">
    <w:name w:val="Заголовок 2 Знак"/>
    <w:qFormat/>
    <w:rPr>
      <w:rFonts w:eastAsia="Calibri"/>
      <w:b/>
      <w:bCs/>
      <w:sz w:val="24"/>
      <w:szCs w:val="24"/>
      <w:lang w:val="ru-RU"/>
    </w:rPr>
  </w:style>
  <w:style w:type="character" w:styleId="3">
    <w:name w:val="Заголовок 3 Знак"/>
    <w:qFormat/>
    <w:rPr>
      <w:rFonts w:eastAsia="Calibri"/>
      <w:b/>
      <w:sz w:val="24"/>
      <w:szCs w:val="24"/>
      <w:lang w:val="ru-RU"/>
    </w:rPr>
  </w:style>
  <w:style w:type="character" w:styleId="4">
    <w:name w:val="Заголовок 4 Знак"/>
    <w:qFormat/>
    <w:rPr>
      <w:rFonts w:eastAsia="Calibri"/>
      <w:b/>
      <w:bCs/>
      <w:sz w:val="24"/>
      <w:szCs w:val="24"/>
      <w:lang w:val="ru-RU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9">
    <w:name w:val="Заголовок 9 Знак"/>
    <w:qFormat/>
    <w:rPr>
      <w:rFonts w:ascii="Arial" w:hAnsi="Arial" w:cs="Arial"/>
      <w:sz w:val="22"/>
      <w:szCs w:val="22"/>
    </w:rPr>
  </w:style>
  <w:style w:type="character" w:styleId="Style3">
    <w:name w:val="Название Знак"/>
    <w:qFormat/>
    <w:rPr>
      <w:sz w:val="28"/>
    </w:rPr>
  </w:style>
  <w:style w:type="character" w:styleId="Style4">
    <w:name w:val="Подзаголовок Знак"/>
    <w:qFormat/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character" w:styleId="Emphasis">
    <w:name w:val="Emphasis"/>
    <w:qFormat/>
    <w:rPr>
      <w:i/>
      <w:iCs/>
    </w:rPr>
  </w:style>
  <w:style w:type="character" w:styleId="21">
    <w:name w:val="Цитата 2 Знак"/>
    <w:qFormat/>
    <w:rPr>
      <w:rFonts w:ascii="Calibri" w:hAnsi="Calibri" w:eastAsia="Calibri" w:cs="Calibri"/>
      <w:i/>
      <w:iCs/>
      <w:color w:val="000000"/>
      <w:lang w:val="ru-RU"/>
    </w:rPr>
  </w:style>
  <w:style w:type="character" w:styleId="Style5">
    <w:name w:val="Выделенная цитата Знак"/>
    <w:qFormat/>
    <w:rPr>
      <w:rFonts w:ascii="Calibri" w:hAnsi="Calibri" w:eastAsia="Calibri" w:cs="Calibri"/>
      <w:b/>
      <w:bCs/>
      <w:i/>
      <w:iCs/>
      <w:color w:val="4F81BD"/>
      <w:lang w:val="ru-RU"/>
    </w:rPr>
  </w:style>
  <w:style w:type="character" w:styleId="Style6">
    <w:name w:val="Слабое выделение"/>
    <w:qFormat/>
    <w:rPr>
      <w:i/>
      <w:iCs/>
      <w:color w:val="808080"/>
    </w:rPr>
  </w:style>
  <w:style w:type="character" w:styleId="Style7">
    <w:name w:val="Сильное выделение"/>
    <w:qFormat/>
    <w:rPr>
      <w:b/>
      <w:bCs/>
      <w:i/>
      <w:iCs/>
      <w:color w:val="4F81BD"/>
    </w:rPr>
  </w:style>
  <w:style w:type="character" w:styleId="Style8">
    <w:name w:val="Слабая ссылка"/>
    <w:qFormat/>
    <w:rPr>
      <w:smallCaps/>
      <w:color w:val="C0504D"/>
      <w:u w:val="single"/>
    </w:rPr>
  </w:style>
  <w:style w:type="character" w:styleId="Style9">
    <w:name w:val="Сильная ссылка"/>
    <w:qFormat/>
    <w:rPr>
      <w:b/>
      <w:bCs/>
      <w:smallCaps/>
      <w:color w:val="C0504D"/>
      <w:spacing w:val="5"/>
      <w:u w:val="single"/>
    </w:rPr>
  </w:style>
  <w:style w:type="character" w:styleId="Style10">
    <w:name w:val="Название книги"/>
    <w:qFormat/>
    <w:rPr>
      <w:b/>
      <w:bCs/>
      <w:smallCaps/>
      <w:spacing w:val="5"/>
    </w:rPr>
  </w:style>
  <w:style w:type="character" w:styleId="Style11">
    <w:name w:val="Электронная подпись Знак"/>
    <w:qFormat/>
    <w:rPr>
      <w:rFonts w:eastAsia="Calibri"/>
      <w:sz w:val="24"/>
      <w:szCs w:val="24"/>
    </w:rPr>
  </w:style>
  <w:style w:type="character" w:styleId="11">
    <w:name w:val="Подпункт Знак1"/>
    <w:qFormat/>
    <w:rPr>
      <w:sz w:val="28"/>
    </w:rPr>
  </w:style>
  <w:style w:type="character" w:styleId="Style12">
    <w:name w:val="Текст сноски Знак"/>
    <w:qFormat/>
    <w:rPr/>
  </w:style>
  <w:style w:type="character" w:styleId="Style13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14">
    <w:name w:val="Абзац списка Знак"/>
    <w:qFormat/>
    <w:rPr>
      <w:rFonts w:eastAsia="Calibri"/>
      <w:sz w:val="24"/>
      <w:szCs w:val="24"/>
    </w:rPr>
  </w:style>
  <w:style w:type="character" w:styleId="Style15">
    <w:name w:val="комментарий"/>
    <w:qFormat/>
    <w:rPr>
      <w:b/>
      <w:i/>
      <w:shd w:fill="FFFF99" w:val="clear"/>
    </w:rPr>
  </w:style>
  <w:style w:type="character" w:styleId="Style16">
    <w:name w:val="Подподпункт Знак"/>
    <w:qFormat/>
    <w:rPr>
      <w:sz w:val="26"/>
      <w:szCs w:val="26"/>
    </w:rPr>
  </w:style>
  <w:style w:type="character" w:styleId="31">
    <w:name w:val="УРОВЕНЬ_Абзац_тип3 Знак"/>
    <w:qFormat/>
    <w:rPr>
      <w:rFonts w:eastAsia="Calibri"/>
      <w:sz w:val="26"/>
      <w:szCs w:val="28"/>
    </w:rPr>
  </w:style>
  <w:style w:type="character" w:styleId="Style17">
    <w:name w:val="Верхний колонтитул Знак"/>
    <w:qFormat/>
    <w:rPr>
      <w:sz w:val="24"/>
      <w:szCs w:val="24"/>
    </w:rPr>
  </w:style>
  <w:style w:type="character" w:styleId="Style18">
    <w:name w:val="Текст примечания Знак"/>
    <w:qFormat/>
    <w:rPr/>
  </w:style>
  <w:style w:type="character" w:styleId="Style19">
    <w:name w:val="Текст концевой сноски Знак"/>
    <w:basedOn w:val="Style"/>
    <w:qFormat/>
    <w:rPr/>
  </w:style>
  <w:style w:type="character" w:styleId="Style20">
    <w:name w:val="Символ концевой сноски"/>
    <w:qFormat/>
    <w:rPr>
      <w:vertAlign w:val="superscript"/>
    </w:rPr>
  </w:style>
  <w:style w:type="character" w:styleId="22">
    <w:name w:val="Пункт2 Знак"/>
    <w:qFormat/>
    <w:rPr>
      <w:b/>
      <w:sz w:val="28"/>
    </w:rPr>
  </w:style>
  <w:style w:type="character" w:styleId="12">
    <w:name w:val="УРОВЕНЬ_1. Знак"/>
    <w:qFormat/>
    <w:rPr>
      <w:rFonts w:eastAsia="Calibri"/>
      <w:caps/>
      <w:sz w:val="28"/>
      <w:szCs w:val="28"/>
    </w:rPr>
  </w:style>
  <w:style w:type="character" w:styleId="13">
    <w:name w:val="Неразрешенное упоминание1"/>
    <w:qFormat/>
    <w:rPr>
      <w:color w:val="605E5C"/>
      <w:shd w:fill="E1DFDD" w:val="clear"/>
    </w:rPr>
  </w:style>
  <w:style w:type="character" w:styleId="32">
    <w:name w:val="Основной текст с отступом 3 Знак"/>
    <w:qFormat/>
    <w:rPr>
      <w:sz w:val="16"/>
      <w:szCs w:val="16"/>
    </w:rPr>
  </w:style>
  <w:style w:type="character" w:styleId="Style21">
    <w:name w:val="Маркеры"/>
    <w:qFormat/>
    <w:rPr>
      <w:rFonts w:ascii="OpenSymbol;Arial Unicode MS" w:hAnsi="OpenSymbol;Arial Unicode MS" w:eastAsia="OpenSymbol;Arial Unicode MS" w:cs="OpenSymbol;Arial Unicode MS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bCs/>
      <w:i/>
      <w:iCs/>
      <w:color w:val="000000"/>
      <w:sz w:val="23"/>
      <w:szCs w:val="23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Style22">
    <w:name w:val="Ссылка указателя"/>
    <w:qFormat/>
    <w:rPr/>
  </w:style>
  <w:style w:type="character" w:styleId="FootnoteReference">
    <w:name w:val="Footnote Reference"/>
    <w:rPr>
      <w:vertAlign w:val="superscript"/>
    </w:rPr>
  </w:style>
  <w:style w:type="character" w:styleId="Endnotereference1">
    <w:name w:val="endnote reference1"/>
    <w:basedOn w:val="DefaultParagraphFont"/>
    <w:qFormat/>
    <w:rPr>
      <w:vertAlign w:val="superscript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Strong1">
    <w:name w:val="Strong1"/>
    <w:qFormat/>
    <w:rPr>
      <w:b/>
      <w:bCs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Pagenumber1">
    <w:name w:val="page number1"/>
    <w:basedOn w:val="DefaultParagraphFont"/>
    <w:qFormat/>
    <w:rPr/>
  </w:style>
  <w:style w:type="character" w:styleId="Footnotereference1">
    <w:name w:val="footnote reference1"/>
    <w:qFormat/>
    <w:rPr>
      <w:vertAlign w:val="superscript"/>
    </w:rPr>
  </w:style>
  <w:style w:type="character" w:styleId="DefaultParagraphFont">
    <w:name w:val="Default Paragraph Font"/>
    <w:qFormat/>
    <w:rPr/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character" w:styleId="FontStyle30">
    <w:name w:val="Font Style30"/>
    <w:qFormat/>
    <w:rPr>
      <w:rFonts w:ascii="Times New Roman" w:hAnsi="Times New Roman" w:cs="Times New Roman"/>
      <w:b/>
      <w:bCs/>
      <w:sz w:val="18"/>
      <w:szCs w:val="18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>
    <w:name w:val="Название раздела инструкции"/>
    <w:basedOn w:val="Normal"/>
    <w:qFormat/>
    <w:pPr>
      <w:jc w:val="center"/>
    </w:pPr>
    <w:rPr>
      <w:b/>
    </w:rPr>
  </w:style>
  <w:style w:type="paragraph" w:styleId="Style26">
    <w:name w:val="Раздел положения"/>
    <w:basedOn w:val="Normal"/>
    <w:qFormat/>
    <w:pPr>
      <w:numPr>
        <w:ilvl w:val="0"/>
        <w:numId w:val="6"/>
      </w:numPr>
      <w:spacing w:before="80" w:after="80"/>
      <w:jc w:val="center"/>
    </w:pPr>
    <w:rPr>
      <w:b/>
      <w:sz w:val="32"/>
      <w:szCs w:val="32"/>
    </w:rPr>
  </w:style>
  <w:style w:type="paragraph" w:styleId="Style27">
    <w:name w:val="Подраздел раздела положения"/>
    <w:basedOn w:val="Normal"/>
    <w:qFormat/>
    <w:pPr>
      <w:numPr>
        <w:ilvl w:val="0"/>
        <w:numId w:val="6"/>
      </w:numPr>
      <w:spacing w:before="80" w:after="8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4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>
    <w:name w:val="Название1"/>
    <w:basedOn w:val="Normal"/>
    <w:qFormat/>
    <w:pPr>
      <w:jc w:val="center"/>
    </w:pPr>
    <w:rPr>
      <w:szCs w:val="20"/>
      <w:lang w:val="ru-RU"/>
    </w:rPr>
  </w:style>
  <w:style w:type="paragraph" w:styleId="Style28">
    <w:name w:val="Колонтитул"/>
    <w:basedOn w:val="Normal"/>
    <w:qFormat/>
    <w:pPr/>
    <w:rPr/>
  </w:style>
  <w:style w:type="paragraph" w:styleId="Header">
    <w:name w:val="Header"/>
    <w:basedOn w:val="Normal"/>
    <w:pPr/>
    <w:rPr>
      <w:sz w:val="24"/>
      <w:szCs w:val="24"/>
    </w:rPr>
  </w:style>
  <w:style w:type="paragraph" w:styleId="BodyTextIndent">
    <w:name w:val="Body Text Indent"/>
    <w:basedOn w:val="Normal"/>
    <w:pPr>
      <w:ind w:left="360" w:right="0" w:hanging="0"/>
    </w:pPr>
    <w:rPr>
      <w:sz w:val="24"/>
      <w:szCs w:val="24"/>
    </w:rPr>
  </w:style>
  <w:style w:type="paragraph" w:styleId="Footer">
    <w:name w:val="Footer"/>
    <w:basedOn w:val="Normal"/>
    <w:pPr/>
    <w:rPr/>
  </w:style>
  <w:style w:type="paragraph" w:styleId="24">
    <w:name w:val="Основной текст с отступом 2"/>
    <w:basedOn w:val="Normal"/>
    <w:qFormat/>
    <w:pPr>
      <w:spacing w:lineRule="auto" w:line="480" w:before="0" w:after="120"/>
      <w:ind w:left="283" w:right="0" w:hanging="0"/>
    </w:pPr>
    <w:rPr/>
  </w:style>
  <w:style w:type="paragraph" w:styleId="34">
    <w:name w:val="Основной текст 3"/>
    <w:basedOn w:val="Normal"/>
    <w:qFormat/>
    <w:pPr>
      <w:spacing w:before="0" w:after="120"/>
    </w:pPr>
    <w:rPr>
      <w:sz w:val="16"/>
      <w:szCs w:val="16"/>
    </w:rPr>
  </w:style>
  <w:style w:type="paragraph" w:styleId="35">
    <w:name w:val="Основной текст с отступом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25">
    <w:name w:val="Основной текст 2"/>
    <w:basedOn w:val="Normal"/>
    <w:qFormat/>
    <w:pPr>
      <w:spacing w:lineRule="auto" w:line="480" w:before="0" w:after="120"/>
    </w:pPr>
    <w:rPr/>
  </w:style>
  <w:style w:type="paragraph" w:styleId="Style29">
    <w:name w:val="Цитата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0">
    <w:name w:val="Подпункт"/>
    <w:basedOn w:val="Normal"/>
    <w:qFormat/>
    <w:pPr>
      <w:snapToGrid w:val="false"/>
      <w:spacing w:lineRule="auto" w:line="360"/>
      <w:ind w:left="1134" w:right="0" w:hanging="1134"/>
      <w:jc w:val="both"/>
    </w:pPr>
    <w:rPr>
      <w:szCs w:val="20"/>
      <w:lang w:val="ru-RU"/>
    </w:rPr>
  </w:style>
  <w:style w:type="paragraph" w:styleId="26">
    <w:name w:val="Пункт2"/>
    <w:basedOn w:val="Normal"/>
    <w:qFormat/>
    <w:pPr>
      <w:keepNext w:val="true"/>
      <w:numPr>
        <w:ilvl w:val="0"/>
        <w:numId w:val="0"/>
      </w:numPr>
      <w:suppressAutoHyphens w:val="true"/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pPr>
      <w:spacing w:before="120" w:after="0"/>
    </w:pPr>
    <w:rPr>
      <w:rFonts w:cs="Calibri Light (Заголовки);Calibri Light"/>
      <w:b/>
      <w:bCs/>
      <w:sz w:val="24"/>
      <w:szCs w:val="24"/>
    </w:rPr>
  </w:style>
  <w:style w:type="paragraph" w:styleId="TOC3">
    <w:name w:val="TOC 3"/>
    <w:basedOn w:val="Normal"/>
    <w:next w:val="Normal"/>
    <w:pPr>
      <w:ind w:left="567" w:right="0" w:hanging="0"/>
    </w:pPr>
    <w:rPr>
      <w:rFonts w:cs="Calibri"/>
      <w:sz w:val="20"/>
      <w:szCs w:val="20"/>
    </w:rPr>
  </w:style>
  <w:style w:type="paragraph" w:styleId="Style31">
    <w:name w:val="Раздел регламента"/>
    <w:basedOn w:val="Normal"/>
    <w:qFormat/>
    <w:pPr/>
    <w:rPr/>
  </w:style>
  <w:style w:type="paragraph" w:styleId="Style32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pPr>
      <w:spacing w:before="240" w:after="0"/>
    </w:pPr>
    <w:rPr>
      <w:rFonts w:cs="Calibri"/>
      <w:b/>
      <w:bCs/>
      <w:sz w:val="20"/>
      <w:szCs w:val="20"/>
    </w:rPr>
  </w:style>
  <w:style w:type="paragraph" w:styleId="Style3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4">
    <w:name w:val="Текст примечания"/>
    <w:basedOn w:val="Normal"/>
    <w:qFormat/>
    <w:pPr/>
    <w:rPr>
      <w:sz w:val="20"/>
      <w:szCs w:val="20"/>
    </w:rPr>
  </w:style>
  <w:style w:type="paragraph" w:styleId="Style35">
    <w:name w:val="Тема примечания"/>
    <w:basedOn w:val="Style34"/>
    <w:next w:val="Style34"/>
    <w:qFormat/>
    <w:pPr/>
    <w:rPr>
      <w:b/>
      <w:bCs/>
    </w:rPr>
  </w:style>
  <w:style w:type="paragraph" w:styleId="16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pPr>
      <w:ind w:left="1960" w:right="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pPr>
      <w:ind w:left="840" w:right="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pPr>
      <w:ind w:left="560" w:right="0" w:hanging="0"/>
    </w:pPr>
    <w:rPr>
      <w:rFonts w:cs="Calibri"/>
      <w:sz w:val="20"/>
      <w:szCs w:val="20"/>
    </w:rPr>
  </w:style>
  <w:style w:type="paragraph" w:styleId="27">
    <w:name w:val="Раздел положения 2"/>
    <w:basedOn w:val="Normal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Style36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Style37">
    <w:name w:val="Без интервала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tyle38">
    <w:name w:val="Название объекта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qFormat/>
    <w:pPr>
      <w:ind w:left="1066" w:right="0" w:firstLine="709"/>
    </w:pPr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paragraph" w:styleId="Style39">
    <w:name w:val="Абзац списка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28">
    <w:name w:val="Цитата 2"/>
    <w:basedOn w:val="Normal"/>
    <w:next w:val="Normal"/>
    <w:qFormat/>
    <w:pPr/>
    <w:rPr>
      <w:rFonts w:ascii="Calibri" w:hAnsi="Calibri" w:eastAsia="Calibri" w:cs="Calibri"/>
      <w:i/>
      <w:iCs/>
      <w:color w:val="000000"/>
      <w:sz w:val="20"/>
      <w:szCs w:val="20"/>
      <w:lang w:val="ru-RU"/>
    </w:rPr>
  </w:style>
  <w:style w:type="paragraph" w:styleId="Style40">
    <w:name w:val="Выделенная цитата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 w:cs="Calibri"/>
      <w:b/>
      <w:bCs/>
      <w:i/>
      <w:iCs/>
      <w:color w:val="4F81BD"/>
      <w:sz w:val="20"/>
      <w:szCs w:val="20"/>
      <w:lang w:val="ru-RU"/>
    </w:rPr>
  </w:style>
  <w:style w:type="paragraph" w:styleId="IndexHeading">
    <w:name w:val="Index Heading"/>
    <w:basedOn w:val="Style23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 w:cs="Cambria"/>
      <w:bCs/>
      <w:color w:val="365F91"/>
    </w:rPr>
  </w:style>
  <w:style w:type="paragraph" w:styleId="Style41">
    <w:name w:val="Электронная подпись"/>
    <w:basedOn w:val="Normal"/>
    <w:qFormat/>
    <w:pPr/>
    <w:rPr>
      <w:rFonts w:eastAsia="Calibri"/>
      <w:sz w:val="24"/>
      <w:szCs w:val="24"/>
      <w:lang w:val="ru-RU"/>
    </w:rPr>
  </w:style>
  <w:style w:type="paragraph" w:styleId="Style42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36">
    <w:name w:val="Нумерованный список ур3"/>
    <w:basedOn w:val="Normal"/>
    <w:qFormat/>
    <w:pPr>
      <w:numPr>
        <w:ilvl w:val="0"/>
        <w:numId w:val="8"/>
      </w:numPr>
      <w:jc w:val="both"/>
    </w:pPr>
    <w:rPr>
      <w:rFonts w:ascii="Garamond" w:hAnsi="Garamond" w:cs="Garamond"/>
      <w:sz w:val="24"/>
      <w:szCs w:val="20"/>
    </w:rPr>
  </w:style>
  <w:style w:type="paragraph" w:styleId="ListBullet4">
    <w:name w:val="List Bullet 4"/>
    <w:basedOn w:val="Normal"/>
    <w:pPr>
      <w:numPr>
        <w:ilvl w:val="0"/>
        <w:numId w:val="8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29">
    <w:name w:val="Нумерованный список ур2"/>
    <w:basedOn w:val="Normal"/>
    <w:qFormat/>
    <w:pPr>
      <w:numPr>
        <w:ilvl w:val="0"/>
        <w:numId w:val="8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Style43">
    <w:name w:val="Рецензия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zh-CN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37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/>
    </w:rPr>
  </w:style>
  <w:style w:type="paragraph" w:styleId="Style44">
    <w:name w:val="Пункт"/>
    <w:basedOn w:val="Normal"/>
    <w:qFormat/>
    <w:pPr>
      <w:widowControl w:val="false"/>
      <w:spacing w:lineRule="auto" w:line="360" w:before="120" w:after="0"/>
      <w:ind w:left="1134" w:right="800" w:hanging="1134"/>
      <w:jc w:val="both"/>
    </w:pPr>
    <w:rPr>
      <w:rFonts w:ascii="Arial" w:hAnsi="Arial" w:cs="Arial"/>
      <w:b/>
      <w:i/>
      <w:szCs w:val="20"/>
    </w:rPr>
  </w:style>
  <w:style w:type="paragraph" w:styleId="17">
    <w:name w:val="Абзац списка1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cs="Calibri"/>
      <w:sz w:val="22"/>
      <w:szCs w:val="22"/>
    </w:rPr>
  </w:style>
  <w:style w:type="paragraph" w:styleId="Style45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ru-RU"/>
    </w:rPr>
  </w:style>
  <w:style w:type="paragraph" w:styleId="Style46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>
    <w:name w:val="Подподпункт"/>
    <w:basedOn w:val="Style30"/>
    <w:qFormat/>
    <w:pPr>
      <w:snapToGrid w:val="true"/>
      <w:spacing w:lineRule="auto" w:line="240" w:before="120" w:after="0"/>
      <w:ind w:left="5104" w:right="0" w:hanging="567"/>
    </w:pPr>
    <w:rPr>
      <w:sz w:val="26"/>
      <w:szCs w:val="26"/>
      <w:lang w:val="ru-RU"/>
    </w:rPr>
  </w:style>
  <w:style w:type="paragraph" w:styleId="Style48">
    <w:name w:val="УРОВЕНЬ_(а)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</w:rPr>
  </w:style>
  <w:style w:type="paragraph" w:styleId="-">
    <w:name w:val="УРОВЕНЬ_-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</w:rPr>
  </w:style>
  <w:style w:type="paragraph" w:styleId="210">
    <w:name w:val="УРОВЕНЬ_Абзац_тип2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38">
    <w:name w:val="УРОВЕНЬ_Абзац_тип3"/>
    <w:basedOn w:val="Style39"/>
    <w:qFormat/>
    <w:pPr>
      <w:numPr>
        <w:ilvl w:val="0"/>
        <w:numId w:val="3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Style49">
    <w:name w:val="УРОВЕНЬ_Подпись"/>
    <w:basedOn w:val="Style39"/>
    <w:qFormat/>
    <w:pPr>
      <w:keepNext w:val="true"/>
      <w:numPr>
        <w:ilvl w:val="0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</w:rPr>
  </w:style>
  <w:style w:type="paragraph" w:styleId="18">
    <w:name w:val="Стиль Заголовок 1 + по ширине"/>
    <w:basedOn w:val="Heading1"/>
    <w:qFormat/>
    <w:pPr>
      <w:keepLines/>
      <w:numPr>
        <w:ilvl w:val="0"/>
        <w:numId w:val="0"/>
      </w:numPr>
      <w:suppressAutoHyphens w:val="true"/>
      <w:spacing w:before="480" w:after="240"/>
      <w:ind w:left="567" w:right="0" w:hanging="567"/>
      <w:jc w:val="both"/>
    </w:pPr>
    <w:rPr>
      <w:rFonts w:ascii="Arial" w:hAnsi="Arial" w:eastAsia="Times New Roman" w:cs="Arial"/>
      <w:bCs/>
      <w:kern w:val="2"/>
      <w:sz w:val="40"/>
      <w:szCs w:val="20"/>
      <w:lang w:val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11">
    <w:name w:val="Заголовок 2 КВВ"/>
    <w:basedOn w:val="Normal"/>
    <w:qFormat/>
    <w:pPr>
      <w:keepNext w:val="true"/>
      <w:numPr>
        <w:ilvl w:val="0"/>
        <w:numId w:val="7"/>
      </w:numPr>
      <w:suppressAutoHyphens w:val="true"/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styleId="Style50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Style51">
    <w:name w:val="Обычный (веб)"/>
    <w:basedOn w:val="Normal"/>
    <w:qFormat/>
    <w:pPr>
      <w:spacing w:before="280" w:after="280"/>
    </w:pPr>
    <w:rPr>
      <w:sz w:val="24"/>
      <w:szCs w:val="24"/>
    </w:rPr>
  </w:style>
  <w:style w:type="paragraph" w:styleId="19">
    <w:name w:val="УРОВЕНЬ_1."/>
    <w:basedOn w:val="Style39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 w:val="false"/>
      <w:jc w:val="both"/>
      <w:outlineLvl w:val="0"/>
    </w:pPr>
    <w:rPr>
      <w:caps/>
      <w:sz w:val="28"/>
      <w:szCs w:val="28"/>
    </w:rPr>
  </w:style>
  <w:style w:type="paragraph" w:styleId="TOC6">
    <w:name w:val="TOC 6"/>
    <w:basedOn w:val="Normal"/>
    <w:next w:val="Normal"/>
    <w:pPr>
      <w:ind w:left="1120" w:right="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pPr>
      <w:ind w:left="1400" w:right="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pPr>
      <w:ind w:left="1680" w:right="0" w:hanging="0"/>
    </w:pPr>
    <w:rPr>
      <w:rFonts w:ascii="Calibri" w:hAnsi="Calibri" w:cs="Calibri"/>
      <w:sz w:val="20"/>
      <w:szCs w:val="20"/>
    </w:rPr>
  </w:style>
  <w:style w:type="paragraph" w:styleId="PlainText1">
    <w:name w:val="Plain Text1"/>
    <w:basedOn w:val="Normal"/>
    <w:qFormat/>
    <w:pPr>
      <w:widowControl w:val="false"/>
    </w:pPr>
    <w:rPr>
      <w:rFonts w:ascii="Courier New" w:hAnsi="Courier New" w:cs="Courier New"/>
      <w:sz w:val="20"/>
      <w:szCs w:val="20"/>
    </w:rPr>
  </w:style>
  <w:style w:type="paragraph" w:styleId="Style52">
    <w:name w:val="Содержимое таблицы"/>
    <w:basedOn w:val="Normal"/>
    <w:qFormat/>
    <w:pPr>
      <w:suppressLineNumbers/>
    </w:pPr>
    <w:rPr/>
  </w:style>
  <w:style w:type="paragraph" w:styleId="Style53">
    <w:name w:val="Заголовок таблицы"/>
    <w:basedOn w:val="Style52"/>
    <w:qFormat/>
    <w:pPr>
      <w:suppressLineNumbers/>
      <w:jc w:val="center"/>
    </w:pPr>
    <w:rPr>
      <w:b/>
      <w:bCs/>
    </w:rPr>
  </w:style>
  <w:style w:type="paragraph" w:styleId="List31">
    <w:name w:val="List 31"/>
    <w:basedOn w:val="Normal"/>
    <w:qFormat/>
    <w:pPr>
      <w:numPr>
        <w:ilvl w:val="0"/>
        <w:numId w:val="4"/>
      </w:numPr>
      <w:spacing w:before="120" w:after="0"/>
      <w:jc w:val="both"/>
    </w:pPr>
    <w:rPr>
      <w:rFonts w:ascii="Garamond" w:hAnsi="Garamond" w:cs="Garamond"/>
      <w:sz w:val="24"/>
      <w:szCs w:val="20"/>
    </w:rPr>
  </w:style>
  <w:style w:type="paragraph" w:styleId="TOCHeading1">
    <w:name w:val="TOC Heading1"/>
    <w:basedOn w:val="Heading1"/>
    <w:next w:val="Normal"/>
    <w:qFormat/>
    <w:pPr>
      <w:keepLines/>
      <w:spacing w:before="480" w:after="60"/>
    </w:pPr>
    <w:rPr>
      <w:rFonts w:ascii="Cambria" w:hAnsi="Cambria" w:cs="Cambria"/>
      <w:bCs/>
      <w:color w:val="365F91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Endnotetext1">
    <w:name w:val="endnote text1"/>
    <w:basedOn w:val="Normal"/>
    <w:qFormat/>
    <w:pPr/>
    <w:rPr>
      <w:sz w:val="20"/>
      <w:szCs w:val="20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Calibri" w:cs="Lohit Devanagari"/>
      <w:color w:val="auto"/>
      <w:kern w:val="0"/>
      <w:sz w:val="24"/>
      <w:szCs w:val="24"/>
      <w:lang w:val="ru-RU" w:eastAsia="zh-CN" w:bidi="hi-IN"/>
    </w:rPr>
  </w:style>
  <w:style w:type="paragraph" w:styleId="E-mailSignature">
    <w:name w:val="E-mail Signature"/>
    <w:basedOn w:val="Normal"/>
    <w:qFormat/>
    <w:pPr/>
    <w:rPr>
      <w:rFonts w:eastAsia="Calibri"/>
      <w:sz w:val="24"/>
      <w:szCs w:val="24"/>
      <w:lang w:val="x-none" w:eastAsia="x-none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Quote">
    <w:name w:val="Quote"/>
    <w:basedOn w:val="Normal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Caption3">
    <w:name w:val="caption3"/>
    <w:basedOn w:val="Normal"/>
    <w:qFormat/>
    <w:pPr/>
    <w:rPr>
      <w:rFonts w:eastAsia="Calibri"/>
      <w:b/>
      <w:bCs/>
      <w:color w:val="4F81BD"/>
      <w:sz w:val="18"/>
      <w:szCs w:val="18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Footnotetext1">
    <w:name w:val="footnote text1"/>
    <w:basedOn w:val="Normal"/>
    <w:qFormat/>
    <w:pPr/>
    <w:rPr>
      <w:sz w:val="20"/>
      <w:szCs w:val="20"/>
    </w:rPr>
  </w:style>
  <w:style w:type="paragraph" w:styleId="EndnoteSymbol">
    <w:name w:val="Endnote Symbol"/>
    <w:basedOn w:val="Normal"/>
    <w:qFormat/>
    <w:pPr/>
    <w:rPr>
      <w:sz w:val="20"/>
      <w:szCs w:val="20"/>
    </w:rPr>
  </w:style>
  <w:style w:type="paragraph" w:styleId="ListBullet41">
    <w:name w:val="List Bullet 41"/>
    <w:basedOn w:val="Normal"/>
    <w:qFormat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Caption11">
    <w:name w:val="caption11"/>
    <w:basedOn w:val="Normal"/>
    <w:qFormat/>
    <w:pPr/>
    <w:rPr>
      <w:rFonts w:eastAsia="Calibri"/>
      <w:b/>
      <w:bCs/>
      <w:color w:val="4F81BD"/>
      <w:sz w:val="18"/>
      <w:szCs w:val="18"/>
    </w:rPr>
  </w:style>
  <w:style w:type="numbering" w:styleId="Style54">
    <w:name w:val="Без списка"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110">
    <w:name w:val="Стиль1"/>
    <w:qFormat/>
  </w:style>
  <w:style w:type="numbering" w:styleId="212">
    <w:name w:val="Стиль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2039</TotalTime>
  <Application>AlterOffice/3.3.1.3$Linux_X86_64 LibreOffice_project/90d829a0d92d6015ad4fa014ce4f460a7fe6c0ba</Application>
  <AppVersion>15.0000</AppVersion>
  <Pages>12</Pages>
  <Words>3155</Words>
  <Characters>21786</Characters>
  <CharactersWithSpaces>24721</CharactersWithSpaces>
  <Paragraphs>320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2023-06-13T15:15:00Z</dcterms:created>
  <dc:creator>Быстров Олег Геннадьевич</dc:creator>
  <dc:description/>
  <dc:language>ru-RU</dc:language>
  <cp:lastModifiedBy>scherbakova_tv</cp:lastModifiedBy>
  <dcterms:modified xsi:type="dcterms:W3CDTF">2026-08-12T08:38:14Z</dcterms:modified>
  <cp:revision>239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